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5875E8" w14:textId="647E13E1" w:rsidR="00EF01E5" w:rsidRDefault="00EF01E5" w:rsidP="00EF01E5">
      <w:pPr>
        <w:spacing w:after="0" w:line="360" w:lineRule="auto"/>
        <w:jc w:val="center"/>
        <w:rPr>
          <w:rFonts w:ascii="Arial" w:eastAsia="Times New Roman" w:hAnsi="Arial" w:cs="Arial"/>
          <w:b/>
          <w:sz w:val="16"/>
          <w:szCs w:val="16"/>
          <w:u w:val="single"/>
          <w:lang w:eastAsia="fr-FR"/>
        </w:rPr>
      </w:pPr>
      <w:bookmarkStart w:id="0" w:name="_GoBack"/>
      <w:bookmarkEnd w:id="0"/>
    </w:p>
    <w:p w14:paraId="18B0311B" w14:textId="26D3D001" w:rsidR="00EF01E5" w:rsidRDefault="00C10324" w:rsidP="000D4D9A">
      <w:pPr>
        <w:spacing w:after="0" w:line="360" w:lineRule="auto"/>
        <w:jc w:val="center"/>
        <w:rPr>
          <w:rFonts w:ascii="Arial" w:eastAsia="Times New Roman" w:hAnsi="Arial" w:cs="Arial"/>
          <w:b/>
          <w:sz w:val="36"/>
          <w:szCs w:val="36"/>
          <w:u w:val="single"/>
          <w:lang w:eastAsia="fr-FR"/>
        </w:rPr>
      </w:pPr>
      <w:r>
        <w:rPr>
          <w:rFonts w:ascii="Arial" w:eastAsia="Times New Roman" w:hAnsi="Arial" w:cs="Arial"/>
          <w:b/>
          <w:sz w:val="36"/>
          <w:szCs w:val="36"/>
          <w:u w:val="single"/>
          <w:lang w:eastAsia="fr-FR"/>
        </w:rPr>
        <w:t xml:space="preserve">Conjoncture à </w:t>
      </w:r>
      <w:r w:rsidR="004867EF">
        <w:rPr>
          <w:rFonts w:ascii="Arial" w:eastAsia="Times New Roman" w:hAnsi="Arial" w:cs="Arial"/>
          <w:b/>
          <w:sz w:val="36"/>
          <w:szCs w:val="36"/>
          <w:u w:val="single"/>
          <w:lang w:eastAsia="fr-FR"/>
        </w:rPr>
        <w:t xml:space="preserve">début </w:t>
      </w:r>
      <w:r w:rsidR="003C53A3">
        <w:rPr>
          <w:rFonts w:ascii="Arial" w:eastAsia="Times New Roman" w:hAnsi="Arial" w:cs="Arial"/>
          <w:b/>
          <w:sz w:val="36"/>
          <w:szCs w:val="36"/>
          <w:u w:val="single"/>
          <w:lang w:eastAsia="fr-FR"/>
        </w:rPr>
        <w:t>septembre</w:t>
      </w:r>
      <w:r w:rsidR="004867EF">
        <w:rPr>
          <w:rFonts w:ascii="Arial" w:eastAsia="Times New Roman" w:hAnsi="Arial" w:cs="Arial"/>
          <w:b/>
          <w:sz w:val="36"/>
          <w:szCs w:val="36"/>
          <w:u w:val="single"/>
          <w:lang w:eastAsia="fr-FR"/>
        </w:rPr>
        <w:t xml:space="preserve"> </w:t>
      </w:r>
      <w:r>
        <w:rPr>
          <w:rFonts w:ascii="Arial" w:eastAsia="Times New Roman" w:hAnsi="Arial" w:cs="Arial"/>
          <w:b/>
          <w:sz w:val="36"/>
          <w:szCs w:val="36"/>
          <w:u w:val="single"/>
          <w:lang w:eastAsia="fr-FR"/>
        </w:rPr>
        <w:t>201</w:t>
      </w:r>
      <w:r w:rsidR="00FE4246">
        <w:rPr>
          <w:rFonts w:ascii="Arial" w:eastAsia="Times New Roman" w:hAnsi="Arial" w:cs="Arial"/>
          <w:b/>
          <w:sz w:val="36"/>
          <w:szCs w:val="36"/>
          <w:u w:val="single"/>
          <w:lang w:eastAsia="fr-FR"/>
        </w:rPr>
        <w:t>9</w:t>
      </w:r>
    </w:p>
    <w:p w14:paraId="4AD526FD" w14:textId="77777777" w:rsidR="00AE0086" w:rsidRPr="00EF01E5" w:rsidRDefault="00AE0086" w:rsidP="00394048">
      <w:pPr>
        <w:pStyle w:val="Sansinterligne"/>
        <w:rPr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F01E5" w14:paraId="50463381" w14:textId="77777777" w:rsidTr="00EF01E5">
        <w:tc>
          <w:tcPr>
            <w:tcW w:w="9062" w:type="dxa"/>
          </w:tcPr>
          <w:p w14:paraId="7DDF8260" w14:textId="216066FF" w:rsidR="000D4D9A" w:rsidRDefault="00DD2FB1" w:rsidP="001D05A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 logement neuf </w:t>
            </w:r>
            <w:r w:rsidR="001673EA">
              <w:rPr>
                <w:rFonts w:ascii="Arial" w:hAnsi="Arial" w:cs="Arial"/>
                <w:b/>
              </w:rPr>
              <w:t xml:space="preserve">recule </w:t>
            </w:r>
            <w:r>
              <w:rPr>
                <w:rFonts w:ascii="Arial" w:hAnsi="Arial" w:cs="Arial"/>
                <w:b/>
              </w:rPr>
              <w:t>depuis le début de l’année, les permis et les ouvertures de chantier abandonnant 5,</w:t>
            </w:r>
            <w:r w:rsidR="00B44554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 % et 4,</w:t>
            </w:r>
            <w:r w:rsidR="00B44554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 % en glissement annuel sur sept mois à fin juillet 2019. Pour autant, la fin de l’année s’annonce mieux orientée</w:t>
            </w:r>
            <w:r w:rsidR="001D05AD">
              <w:rPr>
                <w:rFonts w:ascii="Arial" w:hAnsi="Arial" w:cs="Arial"/>
                <w:b/>
              </w:rPr>
              <w:t xml:space="preserve">, compte tenu d’une amorce de reprise </w:t>
            </w:r>
            <w:r w:rsidR="0022163A">
              <w:rPr>
                <w:rFonts w:ascii="Arial" w:hAnsi="Arial" w:cs="Arial"/>
                <w:b/>
              </w:rPr>
              <w:t xml:space="preserve">qui se dessine </w:t>
            </w:r>
            <w:r w:rsidR="001D05AD">
              <w:rPr>
                <w:rFonts w:ascii="Arial" w:hAnsi="Arial" w:cs="Arial"/>
                <w:b/>
              </w:rPr>
              <w:t>sur le segment de l’individuel</w:t>
            </w:r>
            <w:r w:rsidR="00AF71E3">
              <w:rPr>
                <w:rFonts w:ascii="Arial" w:hAnsi="Arial" w:cs="Arial"/>
                <w:b/>
              </w:rPr>
              <w:t xml:space="preserve"> d’une part</w:t>
            </w:r>
            <w:r w:rsidR="001D05AD">
              <w:rPr>
                <w:rFonts w:ascii="Arial" w:hAnsi="Arial" w:cs="Arial"/>
                <w:b/>
              </w:rPr>
              <w:t>, les ventes en diffus progressant de 4,7 % depuis le début de l’année et les permis affichant une petite hausse de 1,3 % sur les trois derniers mois</w:t>
            </w:r>
            <w:r w:rsidR="00AF71E3">
              <w:rPr>
                <w:rFonts w:ascii="Arial" w:hAnsi="Arial" w:cs="Arial"/>
                <w:b/>
              </w:rPr>
              <w:t xml:space="preserve">, </w:t>
            </w:r>
            <w:r w:rsidR="00655799">
              <w:rPr>
                <w:rFonts w:ascii="Arial" w:hAnsi="Arial" w:cs="Arial"/>
                <w:b/>
              </w:rPr>
              <w:t xml:space="preserve">et </w:t>
            </w:r>
            <w:r w:rsidR="00AF71E3">
              <w:rPr>
                <w:rFonts w:ascii="Arial" w:hAnsi="Arial" w:cs="Arial"/>
                <w:b/>
              </w:rPr>
              <w:t xml:space="preserve">d’une stabilité sur le premier semestre de </w:t>
            </w:r>
            <w:r w:rsidR="00C82D07">
              <w:rPr>
                <w:rFonts w:ascii="Arial" w:hAnsi="Arial" w:cs="Arial"/>
                <w:b/>
              </w:rPr>
              <w:t>la commercialisation</w:t>
            </w:r>
            <w:r w:rsidR="00AF71E3">
              <w:rPr>
                <w:rFonts w:ascii="Arial" w:hAnsi="Arial" w:cs="Arial"/>
                <w:b/>
              </w:rPr>
              <w:t xml:space="preserve"> dans le collectif d’autre part</w:t>
            </w:r>
            <w:r w:rsidR="001D05AD">
              <w:rPr>
                <w:rFonts w:ascii="Arial" w:hAnsi="Arial" w:cs="Arial"/>
                <w:b/>
              </w:rPr>
              <w:t>.</w:t>
            </w:r>
            <w:r w:rsidR="0022163A">
              <w:rPr>
                <w:rFonts w:ascii="Arial" w:hAnsi="Arial" w:cs="Arial"/>
                <w:b/>
              </w:rPr>
              <w:t xml:space="preserve"> Il faut y voir les </w:t>
            </w:r>
            <w:r w:rsidR="00781472">
              <w:rPr>
                <w:rFonts w:ascii="Arial" w:hAnsi="Arial" w:cs="Arial"/>
                <w:b/>
              </w:rPr>
              <w:t>effets bénéfiques</w:t>
            </w:r>
            <w:r w:rsidR="0022163A">
              <w:rPr>
                <w:rFonts w:ascii="Arial" w:hAnsi="Arial" w:cs="Arial"/>
                <w:b/>
              </w:rPr>
              <w:t xml:space="preserve"> d’une </w:t>
            </w:r>
            <w:r w:rsidR="00AF71E3">
              <w:rPr>
                <w:rFonts w:ascii="Arial" w:hAnsi="Arial" w:cs="Arial"/>
                <w:b/>
              </w:rPr>
              <w:t xml:space="preserve">large </w:t>
            </w:r>
            <w:r w:rsidR="0022163A">
              <w:rPr>
                <w:rFonts w:ascii="Arial" w:hAnsi="Arial" w:cs="Arial"/>
                <w:b/>
              </w:rPr>
              <w:t xml:space="preserve">ouverture </w:t>
            </w:r>
            <w:r w:rsidR="00B44554">
              <w:rPr>
                <w:rFonts w:ascii="Arial" w:hAnsi="Arial" w:cs="Arial"/>
                <w:b/>
              </w:rPr>
              <w:t>du crédit immobilier</w:t>
            </w:r>
            <w:r w:rsidR="00AF71E3">
              <w:rPr>
                <w:rFonts w:ascii="Arial" w:hAnsi="Arial" w:cs="Arial"/>
                <w:b/>
              </w:rPr>
              <w:t xml:space="preserve">, notamment </w:t>
            </w:r>
            <w:r w:rsidR="00CF17E0">
              <w:rPr>
                <w:rFonts w:ascii="Arial" w:hAnsi="Arial" w:cs="Arial"/>
                <w:b/>
              </w:rPr>
              <w:t>en faveur des</w:t>
            </w:r>
            <w:r w:rsidR="0022163A">
              <w:rPr>
                <w:rFonts w:ascii="Arial" w:hAnsi="Arial" w:cs="Arial"/>
                <w:b/>
              </w:rPr>
              <w:t xml:space="preserve"> ménages modestes évincés du marché suite à la dégradation de l’environnement institutionnel</w:t>
            </w:r>
            <w:r w:rsidR="00781472">
              <w:rPr>
                <w:rFonts w:ascii="Arial" w:hAnsi="Arial" w:cs="Arial"/>
                <w:b/>
              </w:rPr>
              <w:t xml:space="preserve"> en 2018</w:t>
            </w:r>
            <w:r w:rsidR="0022163A">
              <w:rPr>
                <w:rFonts w:ascii="Arial" w:hAnsi="Arial" w:cs="Arial"/>
                <w:b/>
              </w:rPr>
              <w:t>.</w:t>
            </w:r>
          </w:p>
          <w:p w14:paraId="0172C9A7" w14:textId="56C14FF7" w:rsidR="00BB5872" w:rsidRDefault="00BB5872" w:rsidP="0064786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 non résidentiel </w:t>
            </w:r>
            <w:r w:rsidR="001673EA">
              <w:rPr>
                <w:rFonts w:ascii="Arial" w:hAnsi="Arial" w:cs="Arial"/>
                <w:b/>
              </w:rPr>
              <w:t xml:space="preserve">neuf </w:t>
            </w:r>
            <w:r w:rsidR="009433D1">
              <w:rPr>
                <w:rFonts w:ascii="Arial" w:hAnsi="Arial" w:cs="Arial"/>
                <w:b/>
              </w:rPr>
              <w:t>affiche</w:t>
            </w:r>
            <w:r w:rsidR="001673EA">
              <w:rPr>
                <w:rFonts w:ascii="Arial" w:hAnsi="Arial" w:cs="Arial"/>
                <w:b/>
              </w:rPr>
              <w:t xml:space="preserve">, quant à lui, </w:t>
            </w:r>
            <w:r w:rsidR="009433D1">
              <w:rPr>
                <w:rFonts w:ascii="Arial" w:hAnsi="Arial" w:cs="Arial"/>
                <w:b/>
              </w:rPr>
              <w:t>des tendances favorables</w:t>
            </w:r>
            <w:r w:rsidR="00781472">
              <w:rPr>
                <w:rFonts w:ascii="Arial" w:hAnsi="Arial" w:cs="Arial"/>
                <w:b/>
              </w:rPr>
              <w:t>. L</w:t>
            </w:r>
            <w:r w:rsidR="009433D1">
              <w:rPr>
                <w:rFonts w:ascii="Arial" w:hAnsi="Arial" w:cs="Arial"/>
                <w:b/>
              </w:rPr>
              <w:t>es surfaces autorisées et commencées, hors locaux agricoles, progress</w:t>
            </w:r>
            <w:r w:rsidR="00781472">
              <w:rPr>
                <w:rFonts w:ascii="Arial" w:hAnsi="Arial" w:cs="Arial"/>
                <w:b/>
              </w:rPr>
              <w:t>e</w:t>
            </w:r>
            <w:r w:rsidR="009433D1">
              <w:rPr>
                <w:rFonts w:ascii="Arial" w:hAnsi="Arial" w:cs="Arial"/>
                <w:b/>
              </w:rPr>
              <w:t>nt respectivement</w:t>
            </w:r>
            <w:r w:rsidR="001673EA">
              <w:rPr>
                <w:rFonts w:ascii="Arial" w:hAnsi="Arial" w:cs="Arial"/>
                <w:b/>
              </w:rPr>
              <w:t xml:space="preserve"> </w:t>
            </w:r>
            <w:r w:rsidR="009433D1">
              <w:rPr>
                <w:rFonts w:ascii="Arial" w:hAnsi="Arial" w:cs="Arial"/>
                <w:b/>
              </w:rPr>
              <w:t>de 15,6 % et 4,7 %</w:t>
            </w:r>
            <w:r w:rsidR="00C82D07">
              <w:rPr>
                <w:rFonts w:ascii="Arial" w:hAnsi="Arial" w:cs="Arial"/>
                <w:b/>
              </w:rPr>
              <w:t xml:space="preserve"> en glissement annuel sur sept mois à fin juillet 2019</w:t>
            </w:r>
            <w:r w:rsidR="009433D1">
              <w:rPr>
                <w:rFonts w:ascii="Arial" w:hAnsi="Arial" w:cs="Arial"/>
                <w:b/>
              </w:rPr>
              <w:t>.</w:t>
            </w:r>
            <w:r w:rsidR="0064786E">
              <w:rPr>
                <w:rFonts w:ascii="Arial" w:hAnsi="Arial" w:cs="Arial"/>
                <w:b/>
              </w:rPr>
              <w:t xml:space="preserve"> L’accélération des permis sur les trois derniers mois (+23,0 %) devrait dynamiser </w:t>
            </w:r>
            <w:r w:rsidR="00C82D07">
              <w:rPr>
                <w:rFonts w:ascii="Arial" w:hAnsi="Arial" w:cs="Arial"/>
                <w:b/>
              </w:rPr>
              <w:t xml:space="preserve">plus </w:t>
            </w:r>
            <w:r w:rsidR="0064786E">
              <w:rPr>
                <w:rFonts w:ascii="Arial" w:hAnsi="Arial" w:cs="Arial"/>
                <w:b/>
              </w:rPr>
              <w:t>encore l’act</w:t>
            </w:r>
            <w:r w:rsidR="00C82D07">
              <w:rPr>
                <w:rFonts w:ascii="Arial" w:hAnsi="Arial" w:cs="Arial"/>
                <w:b/>
              </w:rPr>
              <w:t>ivité sur le second semestre.</w:t>
            </w:r>
          </w:p>
          <w:p w14:paraId="3A0D93CB" w14:textId="2E91676C" w:rsidR="00B425FD" w:rsidRDefault="0064786E" w:rsidP="0064786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Quant à l’amélioration-entretien, après un</w:t>
            </w:r>
            <w:r w:rsidR="00C82D07">
              <w:rPr>
                <w:rFonts w:ascii="Arial" w:hAnsi="Arial" w:cs="Arial"/>
                <w:b/>
              </w:rPr>
              <w:t xml:space="preserve">e chute d’activité (-2,3 %) au premier trimestre 2019 par rapport au même trimestre de 2018, </w:t>
            </w:r>
            <w:r>
              <w:rPr>
                <w:rFonts w:ascii="Arial" w:hAnsi="Arial" w:cs="Arial"/>
                <w:b/>
              </w:rPr>
              <w:t>l’inflexion de tendance observée au deuxième trimestre (+0,5 %) et les perspectives assez bien orientées pour les prochains mois laissent envisager, là encore, une deuxième partie d’année</w:t>
            </w:r>
            <w:r w:rsidR="00B425FD">
              <w:rPr>
                <w:rFonts w:ascii="Arial" w:hAnsi="Arial" w:cs="Arial"/>
                <w:b/>
              </w:rPr>
              <w:t xml:space="preserve"> bien meilleure.</w:t>
            </w:r>
          </w:p>
          <w:p w14:paraId="4A8F60DE" w14:textId="1EA21F8B" w:rsidR="00A54751" w:rsidRDefault="00B425FD" w:rsidP="00B425F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 conséquence, eu égard également </w:t>
            </w:r>
            <w:r w:rsidR="00C82D07">
              <w:rPr>
                <w:rFonts w:ascii="Arial" w:hAnsi="Arial" w:cs="Arial"/>
                <w:b/>
              </w:rPr>
              <w:t>aux</w:t>
            </w:r>
            <w:r>
              <w:rPr>
                <w:rFonts w:ascii="Arial" w:hAnsi="Arial" w:cs="Arial"/>
                <w:b/>
              </w:rPr>
              <w:t xml:space="preserve"> carnets de commandes toujours bien garnis, l</w:t>
            </w:r>
            <w:r w:rsidR="00C82D07">
              <w:rPr>
                <w:rFonts w:ascii="Arial" w:hAnsi="Arial" w:cs="Arial"/>
                <w:b/>
              </w:rPr>
              <w:t xml:space="preserve">’activité </w:t>
            </w:r>
            <w:r>
              <w:rPr>
                <w:rFonts w:ascii="Arial" w:hAnsi="Arial" w:cs="Arial"/>
                <w:b/>
              </w:rPr>
              <w:t>bâtiment</w:t>
            </w:r>
            <w:r w:rsidR="00C82D07">
              <w:rPr>
                <w:rFonts w:ascii="Arial" w:hAnsi="Arial" w:cs="Arial"/>
                <w:b/>
              </w:rPr>
              <w:t xml:space="preserve"> s’afficherait </w:t>
            </w:r>
            <w:r w:rsidR="00925232" w:rsidRPr="00781472">
              <w:rPr>
                <w:rFonts w:ascii="Arial" w:hAnsi="Arial" w:cs="Arial"/>
                <w:b/>
              </w:rPr>
              <w:t>a minima</w:t>
            </w:r>
            <w:r w:rsidR="00925232">
              <w:rPr>
                <w:rFonts w:ascii="Arial" w:hAnsi="Arial" w:cs="Arial"/>
                <w:b/>
              </w:rPr>
              <w:t xml:space="preserve"> </w:t>
            </w:r>
            <w:r w:rsidR="00C82D07">
              <w:rPr>
                <w:rFonts w:ascii="Arial" w:hAnsi="Arial" w:cs="Arial"/>
                <w:b/>
              </w:rPr>
              <w:t xml:space="preserve">en hausse de </w:t>
            </w:r>
            <w:r w:rsidR="00C82D07" w:rsidRPr="00781472">
              <w:rPr>
                <w:rFonts w:ascii="Arial" w:hAnsi="Arial" w:cs="Arial"/>
                <w:b/>
              </w:rPr>
              <w:t>1,</w:t>
            </w:r>
            <w:r w:rsidR="00925232" w:rsidRPr="00781472">
              <w:rPr>
                <w:rFonts w:ascii="Arial" w:hAnsi="Arial" w:cs="Arial"/>
                <w:b/>
              </w:rPr>
              <w:t>3</w:t>
            </w:r>
            <w:r w:rsidR="00C82D07" w:rsidRPr="00781472">
              <w:rPr>
                <w:rFonts w:ascii="Arial" w:hAnsi="Arial" w:cs="Arial"/>
                <w:b/>
              </w:rPr>
              <w:t> </w:t>
            </w:r>
            <w:r w:rsidRPr="00781472"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  <w:b/>
              </w:rPr>
              <w:t xml:space="preserve"> en volume sur l’ensemble de l’année 2019. </w:t>
            </w:r>
            <w:r w:rsidR="00A54751">
              <w:rPr>
                <w:rFonts w:ascii="Arial" w:hAnsi="Arial" w:cs="Arial"/>
                <w:b/>
              </w:rPr>
              <w:t>Du côté de</w:t>
            </w:r>
            <w:r w:rsidR="00C82D07">
              <w:rPr>
                <w:rFonts w:ascii="Arial" w:hAnsi="Arial" w:cs="Arial"/>
                <w:b/>
              </w:rPr>
              <w:t>s</w:t>
            </w:r>
            <w:r w:rsidR="00A54751">
              <w:rPr>
                <w:rFonts w:ascii="Arial" w:hAnsi="Arial" w:cs="Arial"/>
                <w:b/>
              </w:rPr>
              <w:t xml:space="preserve"> </w:t>
            </w:r>
            <w:r w:rsidR="00C82D07">
              <w:rPr>
                <w:rFonts w:ascii="Arial" w:hAnsi="Arial" w:cs="Arial"/>
                <w:b/>
              </w:rPr>
              <w:t>effectifs</w:t>
            </w:r>
            <w:r w:rsidR="00A54751">
              <w:rPr>
                <w:rFonts w:ascii="Arial" w:hAnsi="Arial" w:cs="Arial"/>
                <w:b/>
              </w:rPr>
              <w:t xml:space="preserve">, de l’ordre de </w:t>
            </w:r>
            <w:r w:rsidR="00512079">
              <w:rPr>
                <w:rFonts w:ascii="Arial" w:hAnsi="Arial" w:cs="Arial"/>
                <w:b/>
              </w:rPr>
              <w:t>25 </w:t>
            </w:r>
            <w:r w:rsidR="00A54751">
              <w:rPr>
                <w:rFonts w:ascii="Arial" w:hAnsi="Arial" w:cs="Arial"/>
                <w:b/>
              </w:rPr>
              <w:t>000 postes, y compris intérim en équivalent-emplois à temps plein, seraient créés.</w:t>
            </w:r>
          </w:p>
          <w:p w14:paraId="4320A8A7" w14:textId="77777777" w:rsidR="00AA7DC4" w:rsidRDefault="00AA7DC4" w:rsidP="00C82D07">
            <w:pPr>
              <w:pStyle w:val="Sansinterligne"/>
            </w:pPr>
          </w:p>
          <w:p w14:paraId="4AA25290" w14:textId="4BADB13E" w:rsidR="0064786E" w:rsidRPr="005272B0" w:rsidRDefault="00B44554" w:rsidP="00125A3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 ailleurs</w:t>
            </w:r>
            <w:r w:rsidR="00A54751">
              <w:rPr>
                <w:rFonts w:ascii="Arial" w:hAnsi="Arial" w:cs="Arial"/>
                <w:b/>
              </w:rPr>
              <w:t xml:space="preserve">, </w:t>
            </w:r>
            <w:r w:rsidR="00C82D07">
              <w:rPr>
                <w:rFonts w:ascii="Arial" w:hAnsi="Arial" w:cs="Arial"/>
                <w:b/>
              </w:rPr>
              <w:t xml:space="preserve">à l’échelon national, </w:t>
            </w:r>
            <w:r w:rsidR="00A54751">
              <w:rPr>
                <w:rFonts w:ascii="Arial" w:hAnsi="Arial" w:cs="Arial"/>
                <w:b/>
              </w:rPr>
              <w:t xml:space="preserve">la situation financière des entreprises de bâtiment </w:t>
            </w:r>
            <w:r w:rsidR="00C82D07">
              <w:rPr>
                <w:rFonts w:ascii="Arial" w:hAnsi="Arial" w:cs="Arial"/>
                <w:b/>
              </w:rPr>
              <w:t xml:space="preserve">semble </w:t>
            </w:r>
            <w:r w:rsidR="00A54751">
              <w:rPr>
                <w:rFonts w:ascii="Arial" w:hAnsi="Arial" w:cs="Arial"/>
                <w:b/>
              </w:rPr>
              <w:t>s’améliorer</w:t>
            </w:r>
            <w:r w:rsidR="00C82D07">
              <w:rPr>
                <w:rFonts w:ascii="Arial" w:hAnsi="Arial" w:cs="Arial"/>
                <w:b/>
              </w:rPr>
              <w:t xml:space="preserve"> un peu</w:t>
            </w:r>
            <w:r w:rsidR="00A54751">
              <w:rPr>
                <w:rFonts w:ascii="Arial" w:hAnsi="Arial" w:cs="Arial"/>
                <w:b/>
              </w:rPr>
              <w:t xml:space="preserve">, </w:t>
            </w:r>
            <w:r w:rsidR="00C82D07">
              <w:rPr>
                <w:rFonts w:ascii="Arial" w:hAnsi="Arial" w:cs="Arial"/>
                <w:b/>
              </w:rPr>
              <w:t>avec</w:t>
            </w:r>
            <w:r w:rsidR="00614B21">
              <w:rPr>
                <w:rFonts w:ascii="Arial" w:hAnsi="Arial" w:cs="Arial"/>
                <w:b/>
              </w:rPr>
              <w:t xml:space="preserve"> </w:t>
            </w:r>
            <w:r w:rsidR="00C82D07">
              <w:rPr>
                <w:rFonts w:ascii="Arial" w:hAnsi="Arial" w:cs="Arial"/>
                <w:b/>
              </w:rPr>
              <w:t xml:space="preserve">un </w:t>
            </w:r>
            <w:r>
              <w:rPr>
                <w:rFonts w:ascii="Arial" w:hAnsi="Arial" w:cs="Arial"/>
                <w:b/>
              </w:rPr>
              <w:t xml:space="preserve">récent </w:t>
            </w:r>
            <w:r w:rsidR="00614B21">
              <w:rPr>
                <w:rFonts w:ascii="Arial" w:hAnsi="Arial" w:cs="Arial"/>
                <w:b/>
              </w:rPr>
              <w:t xml:space="preserve">redressement des trésoreries et des </w:t>
            </w:r>
            <w:r w:rsidR="00614B21">
              <w:rPr>
                <w:rFonts w:ascii="Arial" w:hAnsi="Arial" w:cs="Arial"/>
                <w:b/>
              </w:rPr>
              <w:lastRenderedPageBreak/>
              <w:t xml:space="preserve">marges. Toutefois, cette </w:t>
            </w:r>
            <w:r w:rsidR="00C82D07">
              <w:rPr>
                <w:rFonts w:ascii="Arial" w:hAnsi="Arial" w:cs="Arial"/>
                <w:b/>
              </w:rPr>
              <w:t>évolution s’explique pour partie</w:t>
            </w:r>
            <w:r w:rsidR="00614B21">
              <w:rPr>
                <w:rFonts w:ascii="Arial" w:hAnsi="Arial" w:cs="Arial"/>
                <w:b/>
              </w:rPr>
              <w:t xml:space="preserve"> </w:t>
            </w:r>
            <w:r w:rsidR="00C82D07">
              <w:rPr>
                <w:rFonts w:ascii="Arial" w:hAnsi="Arial" w:cs="Arial"/>
                <w:b/>
              </w:rPr>
              <w:t>par</w:t>
            </w:r>
            <w:r w:rsidR="00614B21">
              <w:rPr>
                <w:rFonts w:ascii="Arial" w:hAnsi="Arial" w:cs="Arial"/>
                <w:b/>
              </w:rPr>
              <w:t xml:space="preserve"> </w:t>
            </w:r>
            <w:r w:rsidR="00C82D07">
              <w:rPr>
                <w:rFonts w:ascii="Arial" w:hAnsi="Arial" w:cs="Arial"/>
                <w:b/>
              </w:rPr>
              <w:t xml:space="preserve">le </w:t>
            </w:r>
            <w:r w:rsidR="00614B21">
              <w:rPr>
                <w:rFonts w:ascii="Arial" w:hAnsi="Arial" w:cs="Arial"/>
                <w:b/>
              </w:rPr>
              <w:t xml:space="preserve">double effet </w:t>
            </w:r>
            <w:r w:rsidR="00781472">
              <w:rPr>
                <w:rFonts w:ascii="Arial" w:hAnsi="Arial" w:cs="Arial"/>
                <w:b/>
              </w:rPr>
              <w:t xml:space="preserve">non pérenne </w:t>
            </w:r>
            <w:r w:rsidR="00614B21">
              <w:rPr>
                <w:rFonts w:ascii="Arial" w:hAnsi="Arial" w:cs="Arial"/>
                <w:b/>
              </w:rPr>
              <w:t xml:space="preserve">du versement du CICE au titre de 2018 et </w:t>
            </w:r>
            <w:r w:rsidR="00125A31">
              <w:rPr>
                <w:rFonts w:ascii="Arial" w:hAnsi="Arial" w:cs="Arial"/>
                <w:b/>
              </w:rPr>
              <w:t>de</w:t>
            </w:r>
            <w:r w:rsidR="00614B21">
              <w:rPr>
                <w:rFonts w:ascii="Arial" w:hAnsi="Arial" w:cs="Arial"/>
                <w:b/>
              </w:rPr>
              <w:t xml:space="preserve"> la mise en place des baisses de charges qui l’a remplacé</w:t>
            </w:r>
            <w:r w:rsidR="00C82D07">
              <w:rPr>
                <w:rFonts w:ascii="Arial" w:hAnsi="Arial" w:cs="Arial"/>
                <w:b/>
              </w:rPr>
              <w:t xml:space="preserve"> dès le début 2019</w:t>
            </w:r>
            <w:r w:rsidR="00614B21">
              <w:rPr>
                <w:rFonts w:ascii="Arial" w:hAnsi="Arial" w:cs="Arial"/>
                <w:b/>
              </w:rPr>
              <w:t xml:space="preserve">. </w:t>
            </w:r>
          </w:p>
        </w:tc>
      </w:tr>
    </w:tbl>
    <w:p w14:paraId="13145FCB" w14:textId="258B37F6" w:rsidR="00E06CF6" w:rsidRPr="00AE6454" w:rsidRDefault="004867EF" w:rsidP="006F76B2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br w:type="page"/>
      </w:r>
      <w:r w:rsidR="00E06CF6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1. </w:t>
      </w:r>
      <w:r w:rsidR="00C10324">
        <w:rPr>
          <w:rFonts w:ascii="Arial" w:hAnsi="Arial" w:cs="Arial"/>
          <w:b/>
          <w:sz w:val="28"/>
          <w:szCs w:val="28"/>
          <w:u w:val="single"/>
        </w:rPr>
        <w:t>Le contexte macro-économique et macro-financier</w:t>
      </w:r>
    </w:p>
    <w:p w14:paraId="0FABAEAA" w14:textId="77777777" w:rsidR="00906F0F" w:rsidRDefault="00906F0F" w:rsidP="00E444BA">
      <w:pPr>
        <w:spacing w:after="0" w:line="360" w:lineRule="auto"/>
        <w:jc w:val="both"/>
        <w:rPr>
          <w:rFonts w:ascii="Arial" w:hAnsi="Arial" w:cs="Arial"/>
        </w:rPr>
      </w:pPr>
    </w:p>
    <w:p w14:paraId="32F73EC4" w14:textId="2574FFC1" w:rsidR="00C22C09" w:rsidRDefault="00B44554" w:rsidP="0048138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751128">
        <w:rPr>
          <w:rFonts w:ascii="Arial" w:hAnsi="Arial" w:cs="Arial"/>
        </w:rPr>
        <w:t xml:space="preserve">a croissance française, moins sensible au commerce mondial que plusieurs de </w:t>
      </w:r>
      <w:r>
        <w:rPr>
          <w:rFonts w:ascii="Arial" w:hAnsi="Arial" w:cs="Arial"/>
        </w:rPr>
        <w:t>ses</w:t>
      </w:r>
      <w:r w:rsidR="00751128">
        <w:rPr>
          <w:rFonts w:ascii="Arial" w:hAnsi="Arial" w:cs="Arial"/>
        </w:rPr>
        <w:t xml:space="preserve"> voisins, résiste à +1,3 % hors effet prix </w:t>
      </w:r>
      <w:r w:rsidR="00751128" w:rsidRPr="00B52160">
        <w:rPr>
          <w:rFonts w:ascii="Arial" w:hAnsi="Arial" w:cs="Arial"/>
        </w:rPr>
        <w:t>en glissement annuel sur le premier semestre 2019</w:t>
      </w:r>
      <w:r w:rsidR="00751128">
        <w:rPr>
          <w:rFonts w:ascii="Arial" w:hAnsi="Arial" w:cs="Arial"/>
        </w:rPr>
        <w:t>. On relève même une petite accélération à +1,4 % au deuxième trimestre 2019 par rapport au deuxième trimestre 2018</w:t>
      </w:r>
      <w:r w:rsidR="005E2D8D">
        <w:rPr>
          <w:rFonts w:ascii="Arial" w:hAnsi="Arial" w:cs="Arial"/>
        </w:rPr>
        <w:t xml:space="preserve"> (cf. graphique 1)</w:t>
      </w:r>
      <w:r w:rsidR="00751128">
        <w:rPr>
          <w:rFonts w:ascii="Arial" w:hAnsi="Arial" w:cs="Arial"/>
        </w:rPr>
        <w:t xml:space="preserve">. </w:t>
      </w:r>
    </w:p>
    <w:p w14:paraId="68F6CCDA" w14:textId="45819396" w:rsidR="001C53AD" w:rsidRDefault="00751128" w:rsidP="0048138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détail, la consommation des ménages a retrouvé un peu de vigueur </w:t>
      </w:r>
      <w:r w:rsidR="008E13CD">
        <w:rPr>
          <w:rFonts w:ascii="Arial" w:hAnsi="Arial" w:cs="Arial"/>
        </w:rPr>
        <w:t>à +1,3 % en glissement annuel sur trois mois à fin juin 2019, contre +1,1 %, +1,0 % et +0,9 % sur deux, trois et quatre trimestres</w:t>
      </w:r>
      <w:r w:rsidR="00A04DCC">
        <w:rPr>
          <w:rFonts w:ascii="Arial" w:hAnsi="Arial" w:cs="Arial"/>
        </w:rPr>
        <w:t>. L</w:t>
      </w:r>
      <w:r w:rsidR="004612FB">
        <w:rPr>
          <w:rFonts w:ascii="Arial" w:hAnsi="Arial" w:cs="Arial"/>
        </w:rPr>
        <w:t>e</w:t>
      </w:r>
      <w:r w:rsidR="009B7925">
        <w:rPr>
          <w:rFonts w:ascii="Arial" w:hAnsi="Arial" w:cs="Arial"/>
        </w:rPr>
        <w:t xml:space="preserve">s mesures </w:t>
      </w:r>
      <w:r w:rsidR="00131DF3">
        <w:rPr>
          <w:rFonts w:ascii="Arial" w:hAnsi="Arial" w:cs="Arial"/>
        </w:rPr>
        <w:t xml:space="preserve">fiscales </w:t>
      </w:r>
      <w:r w:rsidR="00B26F31">
        <w:rPr>
          <w:rFonts w:ascii="Arial" w:hAnsi="Arial" w:cs="Arial"/>
        </w:rPr>
        <w:t>en faveur</w:t>
      </w:r>
      <w:r w:rsidR="00A04DCC">
        <w:rPr>
          <w:rFonts w:ascii="Arial" w:hAnsi="Arial" w:cs="Arial"/>
        </w:rPr>
        <w:t xml:space="preserve"> </w:t>
      </w:r>
      <w:r w:rsidR="00B26F31">
        <w:rPr>
          <w:rFonts w:ascii="Arial" w:hAnsi="Arial" w:cs="Arial"/>
        </w:rPr>
        <w:t>du</w:t>
      </w:r>
      <w:r w:rsidR="00105E13">
        <w:rPr>
          <w:rFonts w:ascii="Arial" w:hAnsi="Arial" w:cs="Arial"/>
        </w:rPr>
        <w:t xml:space="preserve"> </w:t>
      </w:r>
      <w:r w:rsidR="004612FB">
        <w:rPr>
          <w:rFonts w:ascii="Arial" w:hAnsi="Arial" w:cs="Arial"/>
        </w:rPr>
        <w:t xml:space="preserve">pouvoir d’achat </w:t>
      </w:r>
      <w:r w:rsidR="00A04DCC">
        <w:rPr>
          <w:rFonts w:ascii="Arial" w:hAnsi="Arial" w:cs="Arial"/>
        </w:rPr>
        <w:t xml:space="preserve">des ménages </w:t>
      </w:r>
      <w:r w:rsidR="005E3BAF">
        <w:rPr>
          <w:rFonts w:ascii="Arial" w:hAnsi="Arial" w:cs="Arial"/>
        </w:rPr>
        <w:t xml:space="preserve">entrées en application au </w:t>
      </w:r>
      <w:r w:rsidR="000D4810">
        <w:rPr>
          <w:rFonts w:ascii="Arial" w:hAnsi="Arial" w:cs="Arial"/>
        </w:rPr>
        <w:t xml:space="preserve">début de l’année </w:t>
      </w:r>
      <w:r w:rsidR="00A04DCC">
        <w:rPr>
          <w:rFonts w:ascii="Arial" w:hAnsi="Arial" w:cs="Arial"/>
        </w:rPr>
        <w:t>commence</w:t>
      </w:r>
      <w:r w:rsidR="009B7925">
        <w:rPr>
          <w:rFonts w:ascii="Arial" w:hAnsi="Arial" w:cs="Arial"/>
        </w:rPr>
        <w:t>nt</w:t>
      </w:r>
      <w:r w:rsidR="00A04DCC">
        <w:rPr>
          <w:rFonts w:ascii="Arial" w:hAnsi="Arial" w:cs="Arial"/>
        </w:rPr>
        <w:t xml:space="preserve"> donc à faire sentir </w:t>
      </w:r>
      <w:r w:rsidR="009B7925">
        <w:rPr>
          <w:rFonts w:ascii="Arial" w:hAnsi="Arial" w:cs="Arial"/>
        </w:rPr>
        <w:t>leurs</w:t>
      </w:r>
      <w:r w:rsidR="00105E13">
        <w:rPr>
          <w:rFonts w:ascii="Arial" w:hAnsi="Arial" w:cs="Arial"/>
        </w:rPr>
        <w:t xml:space="preserve"> effets</w:t>
      </w:r>
      <w:r w:rsidR="004612FB">
        <w:rPr>
          <w:rFonts w:ascii="Arial" w:hAnsi="Arial" w:cs="Arial"/>
        </w:rPr>
        <w:t>.</w:t>
      </w:r>
      <w:r w:rsidR="009B7925">
        <w:rPr>
          <w:rFonts w:ascii="Arial" w:hAnsi="Arial" w:cs="Arial"/>
        </w:rPr>
        <w:t xml:space="preserve"> De plus, le recul du taux de chômage depuis trois trimestres consécutifs et la persistance d’une inflation </w:t>
      </w:r>
      <w:r w:rsidR="00B44554">
        <w:rPr>
          <w:rFonts w:ascii="Arial" w:hAnsi="Arial" w:cs="Arial"/>
        </w:rPr>
        <w:t>contenue</w:t>
      </w:r>
      <w:r w:rsidR="009B7925">
        <w:rPr>
          <w:rFonts w:ascii="Arial" w:hAnsi="Arial" w:cs="Arial"/>
        </w:rPr>
        <w:t xml:space="preserve"> </w:t>
      </w:r>
      <w:r w:rsidR="00B44554">
        <w:rPr>
          <w:rFonts w:ascii="Arial" w:hAnsi="Arial" w:cs="Arial"/>
        </w:rPr>
        <w:t xml:space="preserve">d’environ 1,2 % depuis janvier </w:t>
      </w:r>
      <w:r w:rsidR="009B7925">
        <w:rPr>
          <w:rFonts w:ascii="Arial" w:hAnsi="Arial" w:cs="Arial"/>
        </w:rPr>
        <w:t>contribuent également à soutenir la consommation.</w:t>
      </w:r>
      <w:r w:rsidR="000215DA">
        <w:rPr>
          <w:rFonts w:ascii="Arial" w:hAnsi="Arial" w:cs="Arial"/>
        </w:rPr>
        <w:t xml:space="preserve"> En revanche, l’investissement de ces mêmes ménages </w:t>
      </w:r>
      <w:r w:rsidR="00B26F31">
        <w:rPr>
          <w:rFonts w:ascii="Arial" w:hAnsi="Arial" w:cs="Arial"/>
        </w:rPr>
        <w:t xml:space="preserve">reste à la </w:t>
      </w:r>
      <w:r w:rsidR="000215DA">
        <w:rPr>
          <w:rFonts w:ascii="Arial" w:hAnsi="Arial" w:cs="Arial"/>
        </w:rPr>
        <w:t>peine</w:t>
      </w:r>
      <w:r w:rsidR="00B26F31">
        <w:rPr>
          <w:rFonts w:ascii="Arial" w:hAnsi="Arial" w:cs="Arial"/>
        </w:rPr>
        <w:t>,</w:t>
      </w:r>
      <w:r w:rsidR="000215DA">
        <w:rPr>
          <w:rFonts w:ascii="Arial" w:hAnsi="Arial" w:cs="Arial"/>
        </w:rPr>
        <w:t xml:space="preserve"> à +0,9 % depuis le début de l’année, après respectivement +2,0 % et +6,6 % en 2018 et 2017.</w:t>
      </w:r>
    </w:p>
    <w:p w14:paraId="2DD0D9F4" w14:textId="77777777" w:rsidR="00481380" w:rsidRPr="00F119CC" w:rsidRDefault="00481380" w:rsidP="00481380">
      <w:pPr>
        <w:spacing w:after="0" w:line="360" w:lineRule="auto"/>
        <w:jc w:val="both"/>
        <w:rPr>
          <w:rFonts w:ascii="Arial" w:hAnsi="Arial" w:cs="Arial"/>
        </w:rPr>
      </w:pPr>
    </w:p>
    <w:p w14:paraId="3D08B0D4" w14:textId="77777777" w:rsidR="001C53AD" w:rsidRPr="004E76C6" w:rsidRDefault="001C53AD" w:rsidP="001C53AD">
      <w:pPr>
        <w:spacing w:after="0" w:line="360" w:lineRule="auto"/>
        <w:jc w:val="center"/>
        <w:rPr>
          <w:rFonts w:ascii="Arial" w:hAnsi="Arial" w:cs="Arial"/>
          <w:b/>
        </w:rPr>
      </w:pPr>
      <w:r w:rsidRPr="004E76C6">
        <w:rPr>
          <w:rFonts w:ascii="Arial" w:hAnsi="Arial" w:cs="Arial"/>
        </w:rPr>
        <w:t>Graphique 1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b/>
        </w:rPr>
        <w:t>Le PIB et ses composantes</w:t>
      </w:r>
    </w:p>
    <w:p w14:paraId="11747DED" w14:textId="11E07285" w:rsidR="001C53AD" w:rsidRPr="004E76C6" w:rsidRDefault="004B6677" w:rsidP="001C53AD">
      <w:pPr>
        <w:spacing w:after="0" w:line="360" w:lineRule="auto"/>
        <w:jc w:val="center"/>
        <w:rPr>
          <w:rFonts w:ascii="Arial" w:hAnsi="Arial" w:cs="Arial"/>
        </w:rPr>
      </w:pPr>
      <w:r w:rsidRPr="004B6677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1255E5B6" wp14:editId="74CE6D1E">
            <wp:extent cx="5187600" cy="3160800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9675" w14:textId="06F23B63" w:rsidR="001C53AD" w:rsidRDefault="001C53AD" w:rsidP="001C53AD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4E76C6">
        <w:rPr>
          <w:rFonts w:ascii="Arial" w:hAnsi="Arial" w:cs="Arial"/>
          <w:i/>
          <w:sz w:val="20"/>
          <w:szCs w:val="20"/>
        </w:rPr>
        <w:t xml:space="preserve">Source : </w:t>
      </w:r>
      <w:r>
        <w:rPr>
          <w:rFonts w:ascii="Arial" w:hAnsi="Arial" w:cs="Arial"/>
          <w:i/>
          <w:sz w:val="20"/>
          <w:szCs w:val="20"/>
        </w:rPr>
        <w:t>FFB à partir de l’Insee, Comptes de la Nation</w:t>
      </w:r>
    </w:p>
    <w:p w14:paraId="3F134112" w14:textId="77777777" w:rsidR="001C53AD" w:rsidRPr="00F119CC" w:rsidRDefault="001C53AD" w:rsidP="00F119CC">
      <w:pPr>
        <w:pStyle w:val="Sansinterligne"/>
        <w:spacing w:line="360" w:lineRule="auto"/>
        <w:rPr>
          <w:rFonts w:ascii="Arial" w:hAnsi="Arial" w:cs="Arial"/>
        </w:rPr>
      </w:pPr>
    </w:p>
    <w:p w14:paraId="738B8BF8" w14:textId="60071094" w:rsidR="006E74CB" w:rsidRDefault="000215DA" w:rsidP="000215D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Quant à l’investissement des administrations publiques, il accélère franchement </w:t>
      </w:r>
      <w:r w:rsidR="00B44554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</w:t>
      </w:r>
      <w:r w:rsidR="00B44554">
        <w:rPr>
          <w:rFonts w:ascii="Arial" w:hAnsi="Arial" w:cs="Arial"/>
        </w:rPr>
        <w:t>+</w:t>
      </w:r>
      <w:r>
        <w:rPr>
          <w:rFonts w:ascii="Arial" w:hAnsi="Arial" w:cs="Arial"/>
        </w:rPr>
        <w:t xml:space="preserve">3,8 % au premier semestre 2019 par rapport au premier semestre 2018, </w:t>
      </w:r>
      <w:r w:rsidR="00B26F31">
        <w:rPr>
          <w:rFonts w:ascii="Arial" w:hAnsi="Arial" w:cs="Arial"/>
        </w:rPr>
        <w:t xml:space="preserve">sans doute en lien avec </w:t>
      </w:r>
      <w:r>
        <w:rPr>
          <w:rFonts w:ascii="Arial" w:hAnsi="Arial" w:cs="Arial"/>
        </w:rPr>
        <w:t xml:space="preserve">l’échéance </w:t>
      </w:r>
      <w:r w:rsidR="00B44554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es municipales de mars 2020. Enfin, sur la même période, </w:t>
      </w:r>
      <w:r w:rsidR="00B26F31">
        <w:rPr>
          <w:rFonts w:ascii="Arial" w:hAnsi="Arial" w:cs="Arial"/>
        </w:rPr>
        <w:t>la dynamique d’investissement d</w:t>
      </w:r>
      <w:r w:rsidR="008B40DB">
        <w:rPr>
          <w:rFonts w:ascii="Arial" w:hAnsi="Arial" w:cs="Arial"/>
        </w:rPr>
        <w:t xml:space="preserve">es entreprises </w:t>
      </w:r>
      <w:r w:rsidR="00B26F31">
        <w:rPr>
          <w:rFonts w:ascii="Arial" w:hAnsi="Arial" w:cs="Arial"/>
        </w:rPr>
        <w:t>ne se dément pas, avec</w:t>
      </w:r>
      <w:r w:rsidR="008B40DB">
        <w:rPr>
          <w:rFonts w:ascii="Arial" w:hAnsi="Arial" w:cs="Arial"/>
        </w:rPr>
        <w:t xml:space="preserve"> un rythme soutenu de </w:t>
      </w:r>
      <w:r w:rsidR="00B26F31">
        <w:rPr>
          <w:rFonts w:ascii="Arial" w:hAnsi="Arial" w:cs="Arial"/>
        </w:rPr>
        <w:t>+</w:t>
      </w:r>
      <w:r w:rsidR="00B44554">
        <w:rPr>
          <w:rFonts w:ascii="Arial" w:hAnsi="Arial" w:cs="Arial"/>
        </w:rPr>
        <w:t>4</w:t>
      </w:r>
      <w:r>
        <w:rPr>
          <w:rFonts w:ascii="Arial" w:hAnsi="Arial" w:cs="Arial"/>
        </w:rPr>
        <w:t>,0 %.</w:t>
      </w:r>
      <w:r w:rsidR="008B40DB">
        <w:rPr>
          <w:rFonts w:ascii="Arial" w:hAnsi="Arial" w:cs="Arial"/>
        </w:rPr>
        <w:t xml:space="preserve"> </w:t>
      </w:r>
      <w:r w:rsidR="00AA2C4D">
        <w:rPr>
          <w:rFonts w:ascii="Arial" w:hAnsi="Arial" w:cs="Arial"/>
        </w:rPr>
        <w:t xml:space="preserve">D’ailleurs, </w:t>
      </w:r>
      <w:r w:rsidR="00B26F31">
        <w:rPr>
          <w:rFonts w:ascii="Arial" w:hAnsi="Arial" w:cs="Arial"/>
        </w:rPr>
        <w:t xml:space="preserve">on relève que </w:t>
      </w:r>
      <w:r w:rsidR="00AA2C4D">
        <w:rPr>
          <w:rFonts w:ascii="Arial" w:hAnsi="Arial" w:cs="Arial"/>
        </w:rPr>
        <w:t>les intentions d’investissement</w:t>
      </w:r>
      <w:r w:rsidR="00B26F31">
        <w:rPr>
          <w:rFonts w:ascii="Arial" w:hAnsi="Arial" w:cs="Arial"/>
        </w:rPr>
        <w:t xml:space="preserve"> des industriels</w:t>
      </w:r>
      <w:r w:rsidR="00AA2C4D">
        <w:rPr>
          <w:rFonts w:ascii="Arial" w:hAnsi="Arial" w:cs="Arial"/>
        </w:rPr>
        <w:t xml:space="preserve"> </w:t>
      </w:r>
      <w:r w:rsidR="006E74CB" w:rsidRPr="006E74CB">
        <w:rPr>
          <w:rFonts w:ascii="Arial" w:hAnsi="Arial" w:cs="Arial"/>
        </w:rPr>
        <w:t>restent très bien orientées</w:t>
      </w:r>
      <w:r w:rsidR="00AA2C4D">
        <w:rPr>
          <w:rFonts w:ascii="Arial" w:hAnsi="Arial" w:cs="Arial"/>
        </w:rPr>
        <w:t xml:space="preserve"> sur l’ensemble de l’année</w:t>
      </w:r>
      <w:r w:rsidR="00B26F31">
        <w:rPr>
          <w:rFonts w:ascii="Arial" w:hAnsi="Arial" w:cs="Arial"/>
        </w:rPr>
        <w:t>,</w:t>
      </w:r>
      <w:r w:rsidR="00AA2C4D">
        <w:rPr>
          <w:rFonts w:ascii="Arial" w:hAnsi="Arial" w:cs="Arial"/>
        </w:rPr>
        <w:t xml:space="preserve"> à +6,4 % en valeur </w:t>
      </w:r>
      <w:r w:rsidR="00B26F31">
        <w:rPr>
          <w:rFonts w:ascii="Arial" w:hAnsi="Arial" w:cs="Arial"/>
        </w:rPr>
        <w:t>attendu fin juillet</w:t>
      </w:r>
      <w:r w:rsidR="00AA2C4D">
        <w:rPr>
          <w:rFonts w:ascii="Arial" w:hAnsi="Arial" w:cs="Arial"/>
        </w:rPr>
        <w:t xml:space="preserve"> 2019 (cf. graphique 2), bi</w:t>
      </w:r>
      <w:r w:rsidR="006E74CB">
        <w:rPr>
          <w:rFonts w:ascii="Arial" w:hAnsi="Arial" w:cs="Arial"/>
        </w:rPr>
        <w:t>en que cette prévision ait été abaissée de 4,9 points par rapport à</w:t>
      </w:r>
      <w:r w:rsidR="00AA2C4D">
        <w:rPr>
          <w:rFonts w:ascii="Arial" w:hAnsi="Arial" w:cs="Arial"/>
        </w:rPr>
        <w:t xml:space="preserve"> il y a trois mois.</w:t>
      </w:r>
    </w:p>
    <w:p w14:paraId="50355E32" w14:textId="77777777" w:rsidR="008B40DB" w:rsidRPr="006E74CB" w:rsidRDefault="008B40DB" w:rsidP="000215DA">
      <w:pPr>
        <w:spacing w:after="0" w:line="360" w:lineRule="auto"/>
        <w:jc w:val="both"/>
      </w:pPr>
    </w:p>
    <w:p w14:paraId="0FA7EF06" w14:textId="74C5E9A2" w:rsidR="00E65ED0" w:rsidRPr="000965EA" w:rsidRDefault="00E65ED0" w:rsidP="00E65ED0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Graphique </w:t>
      </w:r>
      <w:r w:rsidR="00A650A4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9B1AD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Évolutions </w:t>
      </w:r>
      <w:r w:rsidRPr="00B13A7E">
        <w:rPr>
          <w:rFonts w:ascii="Arial" w:hAnsi="Arial" w:cs="Arial"/>
        </w:rPr>
        <w:t>(en valeur)</w:t>
      </w:r>
      <w:r>
        <w:rPr>
          <w:rFonts w:ascii="Arial" w:hAnsi="Arial" w:cs="Arial"/>
          <w:b/>
        </w:rPr>
        <w:t xml:space="preserve"> des montants d’investissement prévus </w:t>
      </w:r>
      <w:r>
        <w:rPr>
          <w:rFonts w:ascii="Arial" w:hAnsi="Arial" w:cs="Arial"/>
          <w:b/>
        </w:rPr>
        <w:br/>
        <w:t>dans l’industrie</w:t>
      </w:r>
    </w:p>
    <w:p w14:paraId="388968E9" w14:textId="4D7E64E3" w:rsidR="00E65ED0" w:rsidRDefault="004B6677" w:rsidP="00E65ED0">
      <w:pPr>
        <w:spacing w:after="0" w:line="360" w:lineRule="auto"/>
        <w:jc w:val="center"/>
        <w:rPr>
          <w:rFonts w:ascii="Arial" w:hAnsi="Arial" w:cs="Arial"/>
        </w:rPr>
      </w:pPr>
      <w:r w:rsidRPr="004B6677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36A96D6F" wp14:editId="0967F799">
            <wp:extent cx="5187600" cy="3160800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812C" w14:textId="77777777" w:rsidR="00E65ED0" w:rsidRPr="00D56380" w:rsidRDefault="00E65ED0" w:rsidP="00E65ED0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D56380">
        <w:rPr>
          <w:rFonts w:ascii="Arial" w:hAnsi="Arial" w:cs="Arial"/>
          <w:i/>
          <w:sz w:val="20"/>
          <w:szCs w:val="20"/>
        </w:rPr>
        <w:t>Source : Insee</w:t>
      </w:r>
      <w:r>
        <w:rPr>
          <w:rFonts w:ascii="Arial" w:hAnsi="Arial" w:cs="Arial"/>
          <w:i/>
          <w:sz w:val="20"/>
          <w:szCs w:val="20"/>
        </w:rPr>
        <w:t>, enquête trimestrielle sur les investissements dans l’industrie</w:t>
      </w:r>
    </w:p>
    <w:p w14:paraId="1C040299" w14:textId="77777777" w:rsidR="00E65ED0" w:rsidRDefault="00E65ED0" w:rsidP="00F119CC">
      <w:pPr>
        <w:pStyle w:val="Sansinterligne"/>
        <w:spacing w:line="360" w:lineRule="auto"/>
      </w:pPr>
    </w:p>
    <w:p w14:paraId="0D69338B" w14:textId="1077B68D" w:rsidR="002429F2" w:rsidRDefault="00B26F31" w:rsidP="002429F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Dans le même temps, l’environnement macro-financier</w:t>
      </w:r>
      <w:r w:rsidR="00326B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n’a cessé de s’améliorer, alors que le consensus de place tablait sur une stabilisation fin 2018.</w:t>
      </w:r>
      <w:r w:rsidR="00326B5F">
        <w:rPr>
          <w:rFonts w:ascii="Arial" w:hAnsi="Arial" w:cs="Arial"/>
        </w:rPr>
        <w:t xml:space="preserve"> Ainsi,</w:t>
      </w:r>
      <w:r w:rsidR="003C53A3">
        <w:rPr>
          <w:rFonts w:ascii="Arial" w:hAnsi="Arial" w:cs="Arial"/>
        </w:rPr>
        <w:t xml:space="preserve"> </w:t>
      </w:r>
      <w:r w:rsidR="00EA74C3">
        <w:rPr>
          <w:rFonts w:ascii="Arial" w:hAnsi="Arial" w:cs="Arial"/>
        </w:rPr>
        <w:t>d</w:t>
      </w:r>
      <w:r w:rsidR="00EA74C3" w:rsidRPr="00EA74C3">
        <w:rPr>
          <w:rFonts w:ascii="Arial" w:hAnsi="Arial" w:cs="Arial"/>
        </w:rPr>
        <w:t>epuis la fin juin</w:t>
      </w:r>
      <w:r w:rsidR="008633C4">
        <w:rPr>
          <w:rFonts w:ascii="Arial" w:hAnsi="Arial" w:cs="Arial"/>
        </w:rPr>
        <w:t xml:space="preserve"> 2019</w:t>
      </w:r>
      <w:r w:rsidR="00EA74C3" w:rsidRPr="00EA74C3">
        <w:rPr>
          <w:rFonts w:ascii="Arial" w:hAnsi="Arial" w:cs="Arial"/>
        </w:rPr>
        <w:t>, la France emprunte à taux négatif sur les marchés jusqu’à dix ans</w:t>
      </w:r>
      <w:r>
        <w:rPr>
          <w:rFonts w:ascii="Arial" w:hAnsi="Arial" w:cs="Arial"/>
        </w:rPr>
        <w:t> ; très récemment, c’est aussi devenu le cas des emprunts jusqu’à quinze ans</w:t>
      </w:r>
      <w:r w:rsidR="00EA74C3">
        <w:rPr>
          <w:rFonts w:ascii="Arial" w:hAnsi="Arial" w:cs="Arial"/>
        </w:rPr>
        <w:t>.</w:t>
      </w:r>
      <w:r w:rsidR="00EA74C3" w:rsidRPr="00EA74C3">
        <w:rPr>
          <w:rFonts w:ascii="Arial" w:hAnsi="Arial" w:cs="Arial"/>
        </w:rPr>
        <w:t xml:space="preserve"> </w:t>
      </w:r>
      <w:r w:rsidR="00EA74C3">
        <w:rPr>
          <w:rFonts w:ascii="Arial" w:hAnsi="Arial" w:cs="Arial"/>
        </w:rPr>
        <w:t xml:space="preserve">En conséquence, </w:t>
      </w:r>
      <w:r w:rsidR="00326B5F">
        <w:rPr>
          <w:rFonts w:ascii="Arial" w:hAnsi="Arial" w:cs="Arial"/>
        </w:rPr>
        <w:t xml:space="preserve">selon l’observatoire </w:t>
      </w:r>
      <w:r w:rsidR="00326B5F" w:rsidRPr="00326B5F">
        <w:rPr>
          <w:rFonts w:ascii="Arial" w:hAnsi="Arial" w:cs="Arial"/>
        </w:rPr>
        <w:t>Crédit Logement/CSA du financement des marchés résidentiels</w:t>
      </w:r>
      <w:r w:rsidR="00326B5F">
        <w:rPr>
          <w:rFonts w:ascii="Arial" w:hAnsi="Arial" w:cs="Arial"/>
        </w:rPr>
        <w:t xml:space="preserve">, </w:t>
      </w:r>
      <w:r w:rsidR="00EA74C3">
        <w:rPr>
          <w:rFonts w:ascii="Arial" w:hAnsi="Arial" w:cs="Arial"/>
        </w:rPr>
        <w:t xml:space="preserve">les taux des </w:t>
      </w:r>
      <w:r w:rsidR="00EA74C3" w:rsidRPr="00EA74C3">
        <w:rPr>
          <w:rFonts w:ascii="Arial" w:hAnsi="Arial" w:cs="Arial"/>
        </w:rPr>
        <w:t>crédit</w:t>
      </w:r>
      <w:r w:rsidR="00EA74C3">
        <w:rPr>
          <w:rFonts w:ascii="Arial" w:hAnsi="Arial" w:cs="Arial"/>
        </w:rPr>
        <w:t>s</w:t>
      </w:r>
      <w:r w:rsidR="00EA74C3" w:rsidRPr="00EA74C3">
        <w:rPr>
          <w:rFonts w:ascii="Arial" w:hAnsi="Arial" w:cs="Arial"/>
        </w:rPr>
        <w:t xml:space="preserve"> immobilier</w:t>
      </w:r>
      <w:r w:rsidR="00EA74C3">
        <w:rPr>
          <w:rFonts w:ascii="Arial" w:hAnsi="Arial" w:cs="Arial"/>
        </w:rPr>
        <w:t xml:space="preserve">s aux particuliers ont </w:t>
      </w:r>
      <w:r w:rsidR="00326B5F">
        <w:rPr>
          <w:rFonts w:ascii="Arial" w:hAnsi="Arial" w:cs="Arial"/>
        </w:rPr>
        <w:t xml:space="preserve">encore </w:t>
      </w:r>
      <w:r w:rsidR="00EA74C3">
        <w:rPr>
          <w:rFonts w:ascii="Arial" w:hAnsi="Arial" w:cs="Arial"/>
        </w:rPr>
        <w:t xml:space="preserve">abandonné </w:t>
      </w:r>
      <w:r w:rsidR="00B44554">
        <w:rPr>
          <w:rFonts w:ascii="Arial" w:hAnsi="Arial" w:cs="Arial"/>
        </w:rPr>
        <w:t>dix</w:t>
      </w:r>
      <w:r w:rsidR="00EA74C3">
        <w:rPr>
          <w:rFonts w:ascii="Arial" w:hAnsi="Arial" w:cs="Arial"/>
        </w:rPr>
        <w:t xml:space="preserve"> </w:t>
      </w:r>
      <w:r w:rsidR="00B44554">
        <w:rPr>
          <w:rFonts w:ascii="Arial" w:hAnsi="Arial" w:cs="Arial"/>
        </w:rPr>
        <w:t xml:space="preserve">points de base </w:t>
      </w:r>
      <w:r w:rsidR="00EA74C3">
        <w:rPr>
          <w:rFonts w:ascii="Arial" w:hAnsi="Arial" w:cs="Arial"/>
        </w:rPr>
        <w:t>au cours de l’été pour s’établir</w:t>
      </w:r>
      <w:r w:rsidR="00EA74C3" w:rsidRPr="00EA74C3">
        <w:rPr>
          <w:rFonts w:ascii="Arial" w:hAnsi="Arial" w:cs="Arial"/>
        </w:rPr>
        <w:t xml:space="preserve"> à </w:t>
      </w:r>
      <w:r w:rsidR="00EA74C3">
        <w:rPr>
          <w:rFonts w:ascii="Arial" w:hAnsi="Arial" w:cs="Arial"/>
        </w:rPr>
        <w:t>1,1</w:t>
      </w:r>
      <w:r w:rsidR="00B44554">
        <w:rPr>
          <w:rFonts w:ascii="Arial" w:hAnsi="Arial" w:cs="Arial"/>
        </w:rPr>
        <w:t>9</w:t>
      </w:r>
      <w:r w:rsidR="00EA74C3">
        <w:rPr>
          <w:rFonts w:ascii="Arial" w:hAnsi="Arial" w:cs="Arial"/>
        </w:rPr>
        <w:t> </w:t>
      </w:r>
      <w:r w:rsidR="00EA74C3" w:rsidRPr="00EA74C3">
        <w:rPr>
          <w:rFonts w:ascii="Arial" w:hAnsi="Arial" w:cs="Arial"/>
        </w:rPr>
        <w:t xml:space="preserve">% en </w:t>
      </w:r>
      <w:r w:rsidR="00B44554">
        <w:rPr>
          <w:rFonts w:ascii="Arial" w:hAnsi="Arial" w:cs="Arial"/>
        </w:rPr>
        <w:t xml:space="preserve">moyenne sur les mois de juillet et </w:t>
      </w:r>
      <w:r w:rsidR="00EA74C3">
        <w:rPr>
          <w:rFonts w:ascii="Arial" w:hAnsi="Arial" w:cs="Arial"/>
        </w:rPr>
        <w:t>août</w:t>
      </w:r>
      <w:r w:rsidR="00EA74C3" w:rsidRPr="00EA74C3">
        <w:rPr>
          <w:rFonts w:ascii="Arial" w:hAnsi="Arial" w:cs="Arial"/>
        </w:rPr>
        <w:t>, hors coût des assurances</w:t>
      </w:r>
      <w:r w:rsidR="00326B5F">
        <w:rPr>
          <w:rFonts w:ascii="Arial" w:hAnsi="Arial" w:cs="Arial"/>
        </w:rPr>
        <w:t xml:space="preserve"> et des sûretés</w:t>
      </w:r>
      <w:r w:rsidR="00BB1021">
        <w:rPr>
          <w:rFonts w:ascii="Arial" w:hAnsi="Arial" w:cs="Arial"/>
        </w:rPr>
        <w:t xml:space="preserve"> (cf. graphique 3)</w:t>
      </w:r>
      <w:r w:rsidR="00EA74C3" w:rsidRPr="00EA74C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De plus</w:t>
      </w:r>
      <w:r w:rsidR="00A5433E">
        <w:rPr>
          <w:rFonts w:ascii="Arial" w:hAnsi="Arial" w:cs="Arial"/>
        </w:rPr>
        <w:t xml:space="preserve">, </w:t>
      </w:r>
      <w:r w:rsidR="00326B5F">
        <w:rPr>
          <w:rFonts w:ascii="Arial" w:hAnsi="Arial" w:cs="Arial"/>
        </w:rPr>
        <w:t>les durées se stabilisent</w:t>
      </w:r>
      <w:r w:rsidR="00A5433E">
        <w:rPr>
          <w:rFonts w:ascii="Arial" w:hAnsi="Arial" w:cs="Arial"/>
        </w:rPr>
        <w:t xml:space="preserve"> à un niveau historiquement haut de </w:t>
      </w:r>
      <w:r w:rsidR="00326B5F">
        <w:rPr>
          <w:rFonts w:ascii="Arial" w:hAnsi="Arial" w:cs="Arial"/>
        </w:rPr>
        <w:t>22</w:t>
      </w:r>
      <w:r w:rsidR="00193327">
        <w:rPr>
          <w:rFonts w:ascii="Arial" w:hAnsi="Arial" w:cs="Arial"/>
        </w:rPr>
        <w:t>8</w:t>
      </w:r>
      <w:r w:rsidR="00326B5F">
        <w:rPr>
          <w:rFonts w:ascii="Arial" w:hAnsi="Arial" w:cs="Arial"/>
        </w:rPr>
        <w:t xml:space="preserve"> mois</w:t>
      </w:r>
      <w:r w:rsidR="00A5433E">
        <w:rPr>
          <w:rFonts w:ascii="Arial" w:hAnsi="Arial" w:cs="Arial"/>
        </w:rPr>
        <w:t xml:space="preserve"> en moyenne</w:t>
      </w:r>
      <w:r>
        <w:rPr>
          <w:rFonts w:ascii="Arial" w:hAnsi="Arial" w:cs="Arial"/>
        </w:rPr>
        <w:t xml:space="preserve"> depuis le printemps</w:t>
      </w:r>
      <w:r w:rsidR="00A5433E">
        <w:rPr>
          <w:rFonts w:ascii="Arial" w:hAnsi="Arial" w:cs="Arial"/>
        </w:rPr>
        <w:t xml:space="preserve">. </w:t>
      </w:r>
      <w:r w:rsidR="0035437C">
        <w:rPr>
          <w:rFonts w:ascii="Arial" w:hAnsi="Arial" w:cs="Arial"/>
        </w:rPr>
        <w:t xml:space="preserve">Quant au niveau </w:t>
      </w:r>
      <w:r w:rsidR="00326B5F">
        <w:rPr>
          <w:rFonts w:ascii="Arial" w:hAnsi="Arial" w:cs="Arial"/>
        </w:rPr>
        <w:t>d’apport personnel</w:t>
      </w:r>
      <w:r w:rsidR="0035437C">
        <w:rPr>
          <w:rFonts w:ascii="Arial" w:hAnsi="Arial" w:cs="Arial"/>
        </w:rPr>
        <w:t xml:space="preserve">, il </w:t>
      </w:r>
      <w:r>
        <w:rPr>
          <w:rFonts w:ascii="Arial" w:hAnsi="Arial" w:cs="Arial"/>
        </w:rPr>
        <w:t>ressort</w:t>
      </w:r>
      <w:r w:rsidR="0035437C">
        <w:rPr>
          <w:rFonts w:ascii="Arial" w:hAnsi="Arial" w:cs="Arial"/>
        </w:rPr>
        <w:t xml:space="preserve"> en baisse de 6,9 % en glissement annuel sur huit mois à fin août 2019.</w:t>
      </w:r>
    </w:p>
    <w:p w14:paraId="6C05893F" w14:textId="1B8BD42E" w:rsidR="00B26F31" w:rsidRDefault="00B26F31" w:rsidP="002429F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Bien que moins documentées, des évolutions similaires semblent affecter le marché du crédit aux entreprises (baisse des taux et </w:t>
      </w:r>
      <w:r w:rsidR="00271CC9">
        <w:rPr>
          <w:rFonts w:ascii="Arial" w:hAnsi="Arial" w:cs="Arial"/>
        </w:rPr>
        <w:t>durées</w:t>
      </w:r>
      <w:r>
        <w:rPr>
          <w:rFonts w:ascii="Arial" w:hAnsi="Arial" w:cs="Arial"/>
        </w:rPr>
        <w:t xml:space="preserve"> à l’origine historique</w:t>
      </w:r>
      <w:r w:rsidR="00271CC9">
        <w:rPr>
          <w:rFonts w:ascii="Arial" w:hAnsi="Arial" w:cs="Arial"/>
        </w:rPr>
        <w:t>ment longues, notam</w:t>
      </w:r>
      <w:r w:rsidR="007436BD">
        <w:rPr>
          <w:rFonts w:ascii="Arial" w:hAnsi="Arial" w:cs="Arial"/>
        </w:rPr>
        <w:t>ment).</w:t>
      </w:r>
    </w:p>
    <w:p w14:paraId="2BC6F47F" w14:textId="77777777" w:rsidR="00E65ED0" w:rsidRDefault="00E65ED0" w:rsidP="002429F2">
      <w:pPr>
        <w:spacing w:after="0" w:line="360" w:lineRule="auto"/>
        <w:jc w:val="both"/>
        <w:rPr>
          <w:rFonts w:ascii="Arial" w:hAnsi="Arial" w:cs="Arial"/>
        </w:rPr>
      </w:pPr>
    </w:p>
    <w:p w14:paraId="32B32BE3" w14:textId="77777777" w:rsidR="00320298" w:rsidRDefault="0032029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p w14:paraId="230BCCF6" w14:textId="40F8EAE9" w:rsidR="008D1C96" w:rsidRPr="00320298" w:rsidRDefault="008D1C96" w:rsidP="002429F2">
      <w:pPr>
        <w:spacing w:after="0" w:line="360" w:lineRule="auto"/>
        <w:jc w:val="center"/>
        <w:rPr>
          <w:rFonts w:ascii="Arial" w:hAnsi="Arial" w:cs="Arial"/>
        </w:rPr>
      </w:pPr>
      <w:r w:rsidRPr="004E76C6">
        <w:rPr>
          <w:rFonts w:ascii="Arial" w:hAnsi="Arial" w:cs="Arial"/>
        </w:rPr>
        <w:lastRenderedPageBreak/>
        <w:t xml:space="preserve">Graphique </w:t>
      </w:r>
      <w:r w:rsidR="00A650A4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– </w:t>
      </w:r>
      <w:r w:rsidRPr="00377874">
        <w:rPr>
          <w:rFonts w:ascii="Arial" w:hAnsi="Arial" w:cs="Arial"/>
          <w:b/>
        </w:rPr>
        <w:t xml:space="preserve">Taux </w:t>
      </w:r>
      <w:r w:rsidR="00320298">
        <w:rPr>
          <w:rFonts w:ascii="Arial" w:hAnsi="Arial" w:cs="Arial"/>
          <w:b/>
        </w:rPr>
        <w:t xml:space="preserve">et durées des crédits immobiliers aux particuliers </w:t>
      </w:r>
      <w:r w:rsidR="00320298" w:rsidRPr="00320298">
        <w:rPr>
          <w:rFonts w:ascii="Arial" w:hAnsi="Arial" w:cs="Arial"/>
        </w:rPr>
        <w:t>(hors coût des assurances et des sûretés)</w:t>
      </w:r>
    </w:p>
    <w:p w14:paraId="16C2C832" w14:textId="5A69B72A" w:rsidR="008D1C96" w:rsidRPr="004E76C6" w:rsidRDefault="00B50EE5" w:rsidP="00E444BA">
      <w:pPr>
        <w:spacing w:after="0" w:line="360" w:lineRule="auto"/>
        <w:jc w:val="center"/>
        <w:rPr>
          <w:rFonts w:ascii="Arial" w:hAnsi="Arial" w:cs="Arial"/>
        </w:rPr>
      </w:pPr>
      <w:r w:rsidRPr="00B50EE5">
        <w:rPr>
          <w:rFonts w:ascii="Arial" w:hAnsi="Arial" w:cs="Arial"/>
          <w:noProof/>
          <w:lang w:eastAsia="fr-FR"/>
        </w:rPr>
        <w:drawing>
          <wp:inline distT="0" distB="0" distL="0" distR="0" wp14:anchorId="6DD1DECA" wp14:editId="1704F724">
            <wp:extent cx="5187600" cy="3160800"/>
            <wp:effectExtent l="0" t="0" r="0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450E" w14:textId="6A9D9354" w:rsidR="008D1C96" w:rsidRDefault="008D1C96" w:rsidP="00E444BA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4E76C6">
        <w:rPr>
          <w:rFonts w:ascii="Arial" w:hAnsi="Arial" w:cs="Arial"/>
          <w:i/>
          <w:sz w:val="20"/>
          <w:szCs w:val="20"/>
        </w:rPr>
        <w:t xml:space="preserve">Source : </w:t>
      </w:r>
      <w:r w:rsidR="00326B5F" w:rsidRPr="00326B5F">
        <w:rPr>
          <w:rFonts w:ascii="Arial" w:hAnsi="Arial" w:cs="Arial"/>
          <w:i/>
          <w:sz w:val="20"/>
          <w:szCs w:val="20"/>
        </w:rPr>
        <w:t>Observatoire Crédit Logement/CSA du financement des marchés résidentiels</w:t>
      </w:r>
    </w:p>
    <w:p w14:paraId="45BF40A4" w14:textId="142CC803" w:rsidR="00AA4154" w:rsidRDefault="00AA4154" w:rsidP="00B579AB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01CF05" w14:textId="0884A8E3" w:rsidR="00AA4154" w:rsidRPr="00D418AE" w:rsidRDefault="00AA4154" w:rsidP="00D418AE">
      <w:pPr>
        <w:spacing w:after="0" w:line="360" w:lineRule="auto"/>
        <w:jc w:val="both"/>
        <w:rPr>
          <w:rFonts w:ascii="Arial" w:hAnsi="Arial" w:cs="Arial"/>
        </w:rPr>
      </w:pPr>
    </w:p>
    <w:p w14:paraId="3B6B2C22" w14:textId="53890977" w:rsidR="00550240" w:rsidRPr="00AE6454" w:rsidRDefault="00550240" w:rsidP="005F0FF7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2. Les marchés du bâtiment</w:t>
      </w:r>
    </w:p>
    <w:p w14:paraId="6DFEB5D0" w14:textId="2BF800AD" w:rsidR="006B348A" w:rsidRDefault="006B348A" w:rsidP="00E444BA">
      <w:pPr>
        <w:spacing w:after="0" w:line="360" w:lineRule="auto"/>
        <w:jc w:val="both"/>
        <w:rPr>
          <w:rFonts w:ascii="Arial" w:hAnsi="Arial" w:cs="Arial"/>
        </w:rPr>
      </w:pPr>
    </w:p>
    <w:p w14:paraId="0865F3CB" w14:textId="77777777" w:rsidR="00EF2D2E" w:rsidRPr="00DC4924" w:rsidRDefault="00EF2D2E" w:rsidP="00E444BA">
      <w:pPr>
        <w:spacing w:after="0" w:line="36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2.1 Le logement neuf</w:t>
      </w:r>
    </w:p>
    <w:p w14:paraId="4A465F8E" w14:textId="4CBC1AC3" w:rsidR="00EF2D2E" w:rsidRDefault="00EF2D2E" w:rsidP="00642F24">
      <w:pPr>
        <w:spacing w:after="0" w:line="360" w:lineRule="auto"/>
        <w:jc w:val="both"/>
        <w:rPr>
          <w:rFonts w:ascii="Arial" w:hAnsi="Arial" w:cs="Arial"/>
        </w:rPr>
      </w:pPr>
    </w:p>
    <w:p w14:paraId="0876D104" w14:textId="68635BA2" w:rsidR="00406A76" w:rsidRPr="00406A76" w:rsidRDefault="00CF5465" w:rsidP="00642F24">
      <w:pPr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2.1.</w:t>
      </w:r>
      <w:r w:rsidR="006A351F">
        <w:rPr>
          <w:rFonts w:ascii="Arial" w:hAnsi="Arial" w:cs="Arial"/>
          <w:i/>
        </w:rPr>
        <w:t>1</w:t>
      </w:r>
      <w:r w:rsidR="00406A76" w:rsidRPr="00406A76">
        <w:rPr>
          <w:rFonts w:ascii="Arial" w:hAnsi="Arial" w:cs="Arial"/>
          <w:i/>
        </w:rPr>
        <w:t xml:space="preserve"> Les ventes</w:t>
      </w:r>
    </w:p>
    <w:p w14:paraId="4C82E7EB" w14:textId="3C708584" w:rsidR="006A351F" w:rsidRDefault="006A351F" w:rsidP="001A5721">
      <w:pPr>
        <w:pStyle w:val="Sansinterligne"/>
        <w:spacing w:line="360" w:lineRule="auto"/>
      </w:pPr>
    </w:p>
    <w:p w14:paraId="77B083C2" w14:textId="7B1CF776" w:rsidR="00B50EE5" w:rsidRDefault="006A351F" w:rsidP="001A572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Depuis le début de l’année, les ventes en individuel diffus se redressent progressivement</w:t>
      </w:r>
      <w:r w:rsidR="000F4581">
        <w:rPr>
          <w:rFonts w:ascii="Arial" w:hAnsi="Arial" w:cs="Arial"/>
        </w:rPr>
        <w:t xml:space="preserve"> sous l’effet de la </w:t>
      </w:r>
      <w:r w:rsidR="000F4581" w:rsidRPr="000F4581">
        <w:rPr>
          <w:rFonts w:ascii="Arial" w:hAnsi="Arial" w:cs="Arial"/>
        </w:rPr>
        <w:t>détente du marché du crédit</w:t>
      </w:r>
      <w:r w:rsidR="000F4581">
        <w:rPr>
          <w:rFonts w:ascii="Arial" w:hAnsi="Arial" w:cs="Arial"/>
        </w:rPr>
        <w:t xml:space="preserve"> (cf. supra)</w:t>
      </w:r>
      <w:r>
        <w:rPr>
          <w:rFonts w:ascii="Arial" w:hAnsi="Arial" w:cs="Arial"/>
        </w:rPr>
        <w:t xml:space="preserve">. Ainsi, </w:t>
      </w:r>
      <w:r w:rsidR="004559A9">
        <w:rPr>
          <w:rFonts w:ascii="Arial" w:hAnsi="Arial" w:cs="Arial"/>
        </w:rPr>
        <w:t xml:space="preserve">d’après les données du Markemétron, </w:t>
      </w:r>
      <w:r w:rsidR="001A5721">
        <w:rPr>
          <w:rFonts w:ascii="Arial" w:hAnsi="Arial" w:cs="Arial"/>
        </w:rPr>
        <w:t>e</w:t>
      </w:r>
      <w:r w:rsidR="00B50EE5">
        <w:rPr>
          <w:rFonts w:ascii="Arial" w:hAnsi="Arial" w:cs="Arial"/>
        </w:rPr>
        <w:t xml:space="preserve">n glissement </w:t>
      </w:r>
      <w:r w:rsidR="00B50EE5">
        <w:rPr>
          <w:rFonts w:ascii="Arial" w:hAnsi="Arial" w:cs="Arial"/>
        </w:rPr>
        <w:lastRenderedPageBreak/>
        <w:t>annuel sur s</w:t>
      </w:r>
      <w:r>
        <w:rPr>
          <w:rFonts w:ascii="Arial" w:hAnsi="Arial" w:cs="Arial"/>
        </w:rPr>
        <w:t>ept</w:t>
      </w:r>
      <w:r w:rsidR="00B50EE5">
        <w:rPr>
          <w:rFonts w:ascii="Arial" w:hAnsi="Arial" w:cs="Arial"/>
        </w:rPr>
        <w:t xml:space="preserve"> mois à fin ju</w:t>
      </w:r>
      <w:r>
        <w:rPr>
          <w:rFonts w:ascii="Arial" w:hAnsi="Arial" w:cs="Arial"/>
        </w:rPr>
        <w:t xml:space="preserve">illet </w:t>
      </w:r>
      <w:r w:rsidR="00B50EE5">
        <w:rPr>
          <w:rFonts w:ascii="Arial" w:hAnsi="Arial" w:cs="Arial"/>
        </w:rPr>
        <w:t xml:space="preserve">2019, </w:t>
      </w:r>
      <w:r w:rsidR="000F4581">
        <w:rPr>
          <w:rFonts w:ascii="Arial" w:hAnsi="Arial" w:cs="Arial"/>
        </w:rPr>
        <w:t xml:space="preserve">la hausse </w:t>
      </w:r>
      <w:r>
        <w:rPr>
          <w:rFonts w:ascii="Arial" w:hAnsi="Arial" w:cs="Arial"/>
        </w:rPr>
        <w:t>se lit à</w:t>
      </w:r>
      <w:r w:rsidR="00B50EE5">
        <w:rPr>
          <w:rFonts w:ascii="Arial" w:hAnsi="Arial" w:cs="Arial"/>
        </w:rPr>
        <w:t xml:space="preserve"> +</w:t>
      </w:r>
      <w:r>
        <w:rPr>
          <w:rFonts w:ascii="Arial" w:hAnsi="Arial" w:cs="Arial"/>
        </w:rPr>
        <w:t>4</w:t>
      </w:r>
      <w:r w:rsidR="00B50EE5">
        <w:rPr>
          <w:rFonts w:ascii="Arial" w:hAnsi="Arial" w:cs="Arial"/>
        </w:rPr>
        <w:t>,</w:t>
      </w:r>
      <w:r>
        <w:rPr>
          <w:rFonts w:ascii="Arial" w:hAnsi="Arial" w:cs="Arial"/>
        </w:rPr>
        <w:t>7</w:t>
      </w:r>
      <w:r w:rsidR="00B50EE5">
        <w:rPr>
          <w:rFonts w:ascii="Arial" w:hAnsi="Arial" w:cs="Arial"/>
        </w:rPr>
        <w:t xml:space="preserve"> %, après </w:t>
      </w:r>
      <w:r w:rsidR="007436BD">
        <w:rPr>
          <w:rFonts w:ascii="Arial" w:hAnsi="Arial" w:cs="Arial"/>
        </w:rPr>
        <w:t>un</w:t>
      </w:r>
      <w:r w:rsidR="00B50EE5">
        <w:rPr>
          <w:rFonts w:ascii="Arial" w:hAnsi="Arial" w:cs="Arial"/>
        </w:rPr>
        <w:t xml:space="preserve"> recul de 11,</w:t>
      </w:r>
      <w:r>
        <w:rPr>
          <w:rFonts w:ascii="Arial" w:hAnsi="Arial" w:cs="Arial"/>
        </w:rPr>
        <w:t>2</w:t>
      </w:r>
      <w:r w:rsidR="00B50EE5">
        <w:rPr>
          <w:rFonts w:ascii="Arial" w:hAnsi="Arial" w:cs="Arial"/>
        </w:rPr>
        <w:t xml:space="preserve"> % en 2018. On constate même </w:t>
      </w:r>
      <w:r w:rsidR="007436BD">
        <w:rPr>
          <w:rFonts w:ascii="Arial" w:hAnsi="Arial" w:cs="Arial"/>
        </w:rPr>
        <w:t>une vive accélération</w:t>
      </w:r>
      <w:r w:rsidR="00B50EE5">
        <w:rPr>
          <w:rFonts w:ascii="Arial" w:hAnsi="Arial" w:cs="Arial"/>
        </w:rPr>
        <w:t xml:space="preserve"> </w:t>
      </w:r>
      <w:r w:rsidR="007436BD">
        <w:rPr>
          <w:rFonts w:ascii="Arial" w:hAnsi="Arial" w:cs="Arial"/>
        </w:rPr>
        <w:t xml:space="preserve">de </w:t>
      </w:r>
      <w:r w:rsidR="00B50EE5">
        <w:rPr>
          <w:rFonts w:ascii="Arial" w:hAnsi="Arial" w:cs="Arial"/>
        </w:rPr>
        <w:t xml:space="preserve">la </w:t>
      </w:r>
      <w:r w:rsidR="00C41CC2">
        <w:rPr>
          <w:rFonts w:ascii="Arial" w:hAnsi="Arial" w:cs="Arial"/>
        </w:rPr>
        <w:t xml:space="preserve">progression </w:t>
      </w:r>
      <w:r w:rsidR="00B50EE5">
        <w:rPr>
          <w:rFonts w:ascii="Arial" w:hAnsi="Arial" w:cs="Arial"/>
        </w:rPr>
        <w:t>sur trois mois</w:t>
      </w:r>
      <w:r w:rsidR="007436BD">
        <w:rPr>
          <w:rFonts w:ascii="Arial" w:hAnsi="Arial" w:cs="Arial"/>
        </w:rPr>
        <w:t>, avec +11,3 %</w:t>
      </w:r>
      <w:r w:rsidR="00B50EE5">
        <w:rPr>
          <w:rFonts w:ascii="Arial" w:hAnsi="Arial" w:cs="Arial"/>
        </w:rPr>
        <w:t xml:space="preserve"> (cf. graphique </w:t>
      </w:r>
      <w:r w:rsidR="00BB1021">
        <w:rPr>
          <w:rFonts w:ascii="Arial" w:hAnsi="Arial" w:cs="Arial"/>
        </w:rPr>
        <w:t>4</w:t>
      </w:r>
      <w:r w:rsidR="00B50EE5">
        <w:rPr>
          <w:rFonts w:ascii="Arial" w:hAnsi="Arial" w:cs="Arial"/>
        </w:rPr>
        <w:t xml:space="preserve">). </w:t>
      </w:r>
    </w:p>
    <w:p w14:paraId="693E8E2C" w14:textId="77777777" w:rsidR="00986B22" w:rsidRDefault="00986B22" w:rsidP="001A5721">
      <w:pPr>
        <w:spacing w:after="0" w:line="360" w:lineRule="auto"/>
        <w:jc w:val="both"/>
        <w:rPr>
          <w:rFonts w:ascii="Arial" w:hAnsi="Arial" w:cs="Arial"/>
        </w:rPr>
      </w:pPr>
    </w:p>
    <w:p w14:paraId="7123CCF7" w14:textId="77777777" w:rsidR="00120CE5" w:rsidRDefault="00120CE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B861F3B" w14:textId="72563B09" w:rsidR="00051B72" w:rsidRPr="00F311C4" w:rsidRDefault="00051B72" w:rsidP="00051B72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Graphique </w:t>
      </w:r>
      <w:r w:rsidR="008859ED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– </w:t>
      </w:r>
      <w:r w:rsidRPr="00F311C4">
        <w:rPr>
          <w:rFonts w:ascii="Arial" w:hAnsi="Arial" w:cs="Arial"/>
          <w:b/>
        </w:rPr>
        <w:t>Ventes</w:t>
      </w:r>
      <w:r>
        <w:rPr>
          <w:rFonts w:ascii="Arial" w:hAnsi="Arial" w:cs="Arial"/>
          <w:b/>
        </w:rPr>
        <w:t xml:space="preserve"> de maisons individuelles en secteur diffus</w:t>
      </w:r>
    </w:p>
    <w:p w14:paraId="3368C8D1" w14:textId="44F6D12A" w:rsidR="00051B72" w:rsidRDefault="00AD468C" w:rsidP="00051B72">
      <w:pPr>
        <w:spacing w:after="0" w:line="360" w:lineRule="auto"/>
        <w:jc w:val="center"/>
        <w:rPr>
          <w:rFonts w:ascii="Arial" w:hAnsi="Arial" w:cs="Arial"/>
        </w:rPr>
      </w:pPr>
      <w:r w:rsidRPr="00AD468C">
        <w:rPr>
          <w:rFonts w:ascii="Arial" w:hAnsi="Arial" w:cs="Arial"/>
          <w:noProof/>
          <w:lang w:eastAsia="fr-FR"/>
        </w:rPr>
        <w:drawing>
          <wp:inline distT="0" distB="0" distL="0" distR="0" wp14:anchorId="36A7D7A2" wp14:editId="24CA0399">
            <wp:extent cx="5187600" cy="3160800"/>
            <wp:effectExtent l="0" t="0" r="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BE1C" w14:textId="438F555A" w:rsidR="00051B72" w:rsidRPr="00C352DB" w:rsidRDefault="00051B72" w:rsidP="00051B72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C352DB">
        <w:rPr>
          <w:rFonts w:ascii="Arial" w:hAnsi="Arial" w:cs="Arial"/>
          <w:i/>
          <w:sz w:val="20"/>
          <w:szCs w:val="20"/>
        </w:rPr>
        <w:t xml:space="preserve">Source : CGI </w:t>
      </w:r>
      <w:r>
        <w:rPr>
          <w:rFonts w:ascii="Arial" w:hAnsi="Arial" w:cs="Arial"/>
          <w:i/>
          <w:sz w:val="20"/>
          <w:szCs w:val="20"/>
        </w:rPr>
        <w:t>B</w:t>
      </w:r>
      <w:r w:rsidRPr="00C352DB">
        <w:rPr>
          <w:rFonts w:ascii="Arial" w:hAnsi="Arial" w:cs="Arial"/>
          <w:i/>
          <w:sz w:val="20"/>
          <w:szCs w:val="20"/>
        </w:rPr>
        <w:t>âtiment</w:t>
      </w:r>
      <w:r>
        <w:rPr>
          <w:rFonts w:ascii="Arial" w:hAnsi="Arial" w:cs="Arial"/>
          <w:i/>
          <w:sz w:val="20"/>
          <w:szCs w:val="20"/>
        </w:rPr>
        <w:t>/</w:t>
      </w:r>
      <w:r w:rsidRPr="00C352DB">
        <w:rPr>
          <w:rFonts w:ascii="Arial" w:hAnsi="Arial" w:cs="Arial"/>
          <w:i/>
          <w:sz w:val="20"/>
          <w:szCs w:val="20"/>
        </w:rPr>
        <w:t xml:space="preserve">Caron </w:t>
      </w:r>
      <w:r>
        <w:rPr>
          <w:rFonts w:ascii="Arial" w:hAnsi="Arial" w:cs="Arial"/>
          <w:i/>
          <w:sz w:val="20"/>
          <w:szCs w:val="20"/>
        </w:rPr>
        <w:t>M</w:t>
      </w:r>
      <w:r w:rsidRPr="00C352DB">
        <w:rPr>
          <w:rFonts w:ascii="Arial" w:hAnsi="Arial" w:cs="Arial"/>
          <w:i/>
          <w:sz w:val="20"/>
          <w:szCs w:val="20"/>
        </w:rPr>
        <w:t>arketing, Markemétron</w:t>
      </w:r>
    </w:p>
    <w:p w14:paraId="6E4707AD" w14:textId="77777777" w:rsidR="003C53A3" w:rsidRDefault="003C53A3" w:rsidP="00111F86">
      <w:pPr>
        <w:spacing w:after="0" w:line="360" w:lineRule="auto"/>
        <w:jc w:val="both"/>
        <w:rPr>
          <w:rFonts w:ascii="Arial" w:hAnsi="Arial" w:cs="Arial"/>
        </w:rPr>
      </w:pPr>
    </w:p>
    <w:p w14:paraId="5EF234A4" w14:textId="48AAFAA6" w:rsidR="00111F86" w:rsidRDefault="00267A3C" w:rsidP="00111F8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Pour ce qui concerne les</w:t>
      </w:r>
      <w:r w:rsidR="00FB005A">
        <w:rPr>
          <w:rFonts w:ascii="Arial" w:hAnsi="Arial" w:cs="Arial"/>
        </w:rPr>
        <w:t xml:space="preserve"> ventes des promoteurs, elles </w:t>
      </w:r>
      <w:r w:rsidR="00FB005A" w:rsidRPr="00FB005A">
        <w:rPr>
          <w:rFonts w:ascii="Arial" w:hAnsi="Arial" w:cs="Arial"/>
        </w:rPr>
        <w:t>continuent de résister à -0,7 % en glissement annuel sur le premier semestre 2019</w:t>
      </w:r>
      <w:r w:rsidR="007436BD">
        <w:rPr>
          <w:rFonts w:ascii="Arial" w:hAnsi="Arial" w:cs="Arial"/>
        </w:rPr>
        <w:t>, malgré une baisse de 3,3 % sur le seul deuxième trimestre 2019</w:t>
      </w:r>
      <w:r w:rsidR="001A5721">
        <w:rPr>
          <w:rFonts w:ascii="Arial" w:hAnsi="Arial" w:cs="Arial"/>
        </w:rPr>
        <w:t xml:space="preserve"> (cf. tableau 1). Toutefois,</w:t>
      </w:r>
      <w:r w:rsidR="000509EF">
        <w:rPr>
          <w:rFonts w:ascii="Arial" w:hAnsi="Arial" w:cs="Arial"/>
        </w:rPr>
        <w:t xml:space="preserve"> des disparités </w:t>
      </w:r>
      <w:r w:rsidR="007436BD">
        <w:rPr>
          <w:rFonts w:ascii="Arial" w:hAnsi="Arial" w:cs="Arial"/>
        </w:rPr>
        <w:t>s’observent selon les</w:t>
      </w:r>
      <w:r w:rsidR="000509EF">
        <w:rPr>
          <w:rFonts w:ascii="Arial" w:hAnsi="Arial" w:cs="Arial"/>
        </w:rPr>
        <w:t xml:space="preserve"> zones de financement</w:t>
      </w:r>
      <w:r w:rsidR="007436BD">
        <w:rPr>
          <w:rFonts w:ascii="Arial" w:hAnsi="Arial" w:cs="Arial"/>
        </w:rPr>
        <w:t> :</w:t>
      </w:r>
      <w:r w:rsidR="000509EF">
        <w:rPr>
          <w:rFonts w:ascii="Arial" w:hAnsi="Arial" w:cs="Arial"/>
        </w:rPr>
        <w:t xml:space="preserve"> </w:t>
      </w:r>
      <w:r w:rsidR="007436BD">
        <w:rPr>
          <w:rFonts w:ascii="Arial" w:hAnsi="Arial" w:cs="Arial"/>
        </w:rPr>
        <w:t xml:space="preserve">sur l’ensemble du premier semestre, </w:t>
      </w:r>
      <w:r w:rsidR="000509EF" w:rsidRPr="001A5721">
        <w:rPr>
          <w:rFonts w:ascii="Arial" w:hAnsi="Arial" w:cs="Arial"/>
        </w:rPr>
        <w:t>les ventes chut</w:t>
      </w:r>
      <w:r w:rsidR="007436BD">
        <w:rPr>
          <w:rFonts w:ascii="Arial" w:hAnsi="Arial" w:cs="Arial"/>
        </w:rPr>
        <w:t>e</w:t>
      </w:r>
      <w:r w:rsidR="000509EF" w:rsidRPr="001A5721">
        <w:rPr>
          <w:rFonts w:ascii="Arial" w:hAnsi="Arial" w:cs="Arial"/>
        </w:rPr>
        <w:t>nt de 23,7</w:t>
      </w:r>
      <w:r w:rsidR="007436BD">
        <w:rPr>
          <w:rFonts w:ascii="Arial" w:hAnsi="Arial" w:cs="Arial"/>
        </w:rPr>
        <w:t> </w:t>
      </w:r>
      <w:r w:rsidR="000509EF" w:rsidRPr="001A5721">
        <w:rPr>
          <w:rFonts w:ascii="Arial" w:hAnsi="Arial" w:cs="Arial"/>
        </w:rPr>
        <w:t>% en B2 et C</w:t>
      </w:r>
      <w:r w:rsidR="000509EF">
        <w:rPr>
          <w:rFonts w:ascii="Arial" w:hAnsi="Arial" w:cs="Arial"/>
        </w:rPr>
        <w:t xml:space="preserve">, alors qu’elles </w:t>
      </w:r>
      <w:r w:rsidR="000509EF" w:rsidRPr="001A5721">
        <w:rPr>
          <w:rFonts w:ascii="Arial" w:hAnsi="Arial" w:cs="Arial"/>
        </w:rPr>
        <w:t xml:space="preserve">stagnent </w:t>
      </w:r>
      <w:r w:rsidR="007436BD">
        <w:rPr>
          <w:rFonts w:ascii="Arial" w:hAnsi="Arial" w:cs="Arial"/>
        </w:rPr>
        <w:t>en</w:t>
      </w:r>
      <w:r w:rsidR="000509EF" w:rsidRPr="001A5721">
        <w:rPr>
          <w:rFonts w:ascii="Arial" w:hAnsi="Arial" w:cs="Arial"/>
        </w:rPr>
        <w:t xml:space="preserve"> A-Abis (-0,2</w:t>
      </w:r>
      <w:r w:rsidR="007436BD">
        <w:rPr>
          <w:rFonts w:ascii="Arial" w:hAnsi="Arial" w:cs="Arial"/>
        </w:rPr>
        <w:t> </w:t>
      </w:r>
      <w:r w:rsidR="000509EF" w:rsidRPr="001A5721">
        <w:rPr>
          <w:rFonts w:ascii="Arial" w:hAnsi="Arial" w:cs="Arial"/>
        </w:rPr>
        <w:t>%) et progressent de façon soutenue en B1 (+7,7</w:t>
      </w:r>
      <w:r w:rsidR="000509EF">
        <w:rPr>
          <w:rFonts w:ascii="Arial" w:hAnsi="Arial" w:cs="Arial"/>
        </w:rPr>
        <w:t> </w:t>
      </w:r>
      <w:r w:rsidR="000509EF" w:rsidRPr="001A5721">
        <w:rPr>
          <w:rFonts w:ascii="Arial" w:hAnsi="Arial" w:cs="Arial"/>
        </w:rPr>
        <w:t>%)</w:t>
      </w:r>
      <w:r w:rsidR="000509EF">
        <w:rPr>
          <w:rFonts w:ascii="Arial" w:hAnsi="Arial" w:cs="Arial"/>
        </w:rPr>
        <w:t>.</w:t>
      </w:r>
    </w:p>
    <w:p w14:paraId="1B052438" w14:textId="13E707F2" w:rsidR="001A5721" w:rsidRDefault="001A5721">
      <w:pPr>
        <w:rPr>
          <w:rFonts w:ascii="Arial" w:hAnsi="Arial" w:cs="Arial"/>
        </w:rPr>
      </w:pPr>
    </w:p>
    <w:p w14:paraId="1B171217" w14:textId="669C736E" w:rsidR="0047401B" w:rsidRDefault="0047401B" w:rsidP="00FE7B38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Tableau 1 – </w:t>
      </w:r>
      <w:r w:rsidRPr="00CB20BC">
        <w:rPr>
          <w:rFonts w:ascii="Arial" w:hAnsi="Arial" w:cs="Arial"/>
          <w:b/>
        </w:rPr>
        <w:t xml:space="preserve">Évolutions </w:t>
      </w:r>
      <w:r w:rsidRPr="00361390">
        <w:rPr>
          <w:rFonts w:ascii="Arial" w:hAnsi="Arial" w:cs="Arial"/>
        </w:rPr>
        <w:t>(en %, en glissement annuel)</w:t>
      </w:r>
      <w:r>
        <w:rPr>
          <w:rFonts w:ascii="Arial" w:hAnsi="Arial" w:cs="Arial"/>
          <w:b/>
        </w:rPr>
        <w:t xml:space="preserve"> </w:t>
      </w:r>
      <w:r w:rsidRPr="00CB20BC">
        <w:rPr>
          <w:rFonts w:ascii="Arial" w:hAnsi="Arial" w:cs="Arial"/>
          <w:b/>
        </w:rPr>
        <w:t>de la promotion immobilière</w:t>
      </w:r>
    </w:p>
    <w:tbl>
      <w:tblPr>
        <w:tblStyle w:val="Grilledutableau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629"/>
        <w:gridCol w:w="1206"/>
        <w:gridCol w:w="1207"/>
      </w:tblGrid>
      <w:tr w:rsidR="0047401B" w14:paraId="2B28EFFB" w14:textId="77777777" w:rsidTr="00193327">
        <w:tc>
          <w:tcPr>
            <w:tcW w:w="6629" w:type="dxa"/>
            <w:tcBorders>
              <w:top w:val="single" w:sz="12" w:space="0" w:color="000000"/>
            </w:tcBorders>
          </w:tcPr>
          <w:p w14:paraId="5F1DC08A" w14:textId="77777777" w:rsidR="0047401B" w:rsidRDefault="0047401B" w:rsidP="00EA799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06" w:type="dxa"/>
            <w:tcBorders>
              <w:top w:val="single" w:sz="12" w:space="0" w:color="000000"/>
            </w:tcBorders>
          </w:tcPr>
          <w:p w14:paraId="13705337" w14:textId="5FFDAD64" w:rsidR="0047401B" w:rsidRDefault="00972833" w:rsidP="00EA79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Ventes</w:t>
            </w:r>
          </w:p>
        </w:tc>
        <w:tc>
          <w:tcPr>
            <w:tcW w:w="1207" w:type="dxa"/>
            <w:tcBorders>
              <w:top w:val="single" w:sz="12" w:space="0" w:color="000000"/>
            </w:tcBorders>
          </w:tcPr>
          <w:p w14:paraId="573519BB" w14:textId="0DB8FA9B" w:rsidR="0047401B" w:rsidRPr="00972833" w:rsidRDefault="00972833" w:rsidP="00EA7995">
            <w:pPr>
              <w:jc w:val="center"/>
              <w:rPr>
                <w:rFonts w:ascii="Arial" w:hAnsi="Arial" w:cs="Arial"/>
              </w:rPr>
            </w:pPr>
            <w:r w:rsidRPr="00972833">
              <w:rPr>
                <w:rFonts w:ascii="Arial" w:hAnsi="Arial" w:cs="Arial"/>
              </w:rPr>
              <w:t>Mises en vente</w:t>
            </w:r>
          </w:p>
        </w:tc>
      </w:tr>
      <w:tr w:rsidR="0047401B" w14:paraId="3AC9F6BB" w14:textId="77777777" w:rsidTr="00193327">
        <w:tc>
          <w:tcPr>
            <w:tcW w:w="6629" w:type="dxa"/>
            <w:tcBorders>
              <w:top w:val="single" w:sz="2" w:space="0" w:color="000000"/>
              <w:bottom w:val="dashSmallGap" w:sz="4" w:space="0" w:color="000000"/>
            </w:tcBorders>
          </w:tcPr>
          <w:p w14:paraId="5C8B29E1" w14:textId="156BCA67" w:rsidR="0047401B" w:rsidRPr="00B50EE5" w:rsidRDefault="0047401B" w:rsidP="003C53A3">
            <w:pPr>
              <w:jc w:val="both"/>
              <w:rPr>
                <w:rFonts w:ascii="Arial" w:hAnsi="Arial" w:cs="Arial"/>
              </w:rPr>
            </w:pPr>
            <w:r w:rsidRPr="00B50EE5">
              <w:rPr>
                <w:rFonts w:ascii="Arial" w:hAnsi="Arial" w:cs="Arial"/>
              </w:rPr>
              <w:t>Sur un trimestre (201</w:t>
            </w:r>
            <w:r w:rsidR="00A52309" w:rsidRPr="00B50EE5">
              <w:rPr>
                <w:rFonts w:ascii="Arial" w:hAnsi="Arial" w:cs="Arial"/>
              </w:rPr>
              <w:t>9</w:t>
            </w:r>
            <w:r w:rsidRPr="00B50EE5">
              <w:rPr>
                <w:rFonts w:ascii="Arial" w:hAnsi="Arial" w:cs="Arial"/>
              </w:rPr>
              <w:t xml:space="preserve"> T</w:t>
            </w:r>
            <w:r w:rsidR="003C53A3" w:rsidRPr="00B50EE5">
              <w:rPr>
                <w:rFonts w:ascii="Arial" w:hAnsi="Arial" w:cs="Arial"/>
              </w:rPr>
              <w:t>2</w:t>
            </w:r>
            <w:r w:rsidRPr="00B50EE5">
              <w:rPr>
                <w:rFonts w:ascii="Arial" w:hAnsi="Arial" w:cs="Arial"/>
              </w:rPr>
              <w:t xml:space="preserve"> / 201</w:t>
            </w:r>
            <w:r w:rsidR="00A52309" w:rsidRPr="00B50EE5">
              <w:rPr>
                <w:rFonts w:ascii="Arial" w:hAnsi="Arial" w:cs="Arial"/>
              </w:rPr>
              <w:t>8</w:t>
            </w:r>
            <w:r w:rsidRPr="00B50EE5">
              <w:rPr>
                <w:rFonts w:ascii="Arial" w:hAnsi="Arial" w:cs="Arial"/>
              </w:rPr>
              <w:t xml:space="preserve"> T</w:t>
            </w:r>
            <w:r w:rsidR="003C53A3" w:rsidRPr="00B50EE5">
              <w:rPr>
                <w:rFonts w:ascii="Arial" w:hAnsi="Arial" w:cs="Arial"/>
              </w:rPr>
              <w:t>2</w:t>
            </w:r>
            <w:r w:rsidRPr="00B50EE5">
              <w:rPr>
                <w:rFonts w:ascii="Arial" w:hAnsi="Arial" w:cs="Arial"/>
              </w:rPr>
              <w:t>)</w:t>
            </w:r>
          </w:p>
        </w:tc>
        <w:tc>
          <w:tcPr>
            <w:tcW w:w="1206" w:type="dxa"/>
            <w:tcBorders>
              <w:top w:val="single" w:sz="2" w:space="0" w:color="000000"/>
              <w:bottom w:val="dashSmallGap" w:sz="4" w:space="0" w:color="000000"/>
            </w:tcBorders>
          </w:tcPr>
          <w:p w14:paraId="61D27155" w14:textId="6BAF25FD" w:rsidR="0047401B" w:rsidRPr="00B50EE5" w:rsidRDefault="002E6918" w:rsidP="00EA79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-3,3 %</w:t>
            </w:r>
          </w:p>
        </w:tc>
        <w:tc>
          <w:tcPr>
            <w:tcW w:w="1207" w:type="dxa"/>
            <w:tcBorders>
              <w:top w:val="single" w:sz="2" w:space="0" w:color="000000"/>
              <w:bottom w:val="dashSmallGap" w:sz="4" w:space="0" w:color="000000"/>
            </w:tcBorders>
          </w:tcPr>
          <w:p w14:paraId="6152A67D" w14:textId="09B6E778" w:rsidR="0047401B" w:rsidRPr="00B50EE5" w:rsidRDefault="002E6918" w:rsidP="00EA79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-14,8 %</w:t>
            </w:r>
          </w:p>
        </w:tc>
      </w:tr>
      <w:tr w:rsidR="0047401B" w14:paraId="1CF331C3" w14:textId="77777777" w:rsidTr="00193327">
        <w:tc>
          <w:tcPr>
            <w:tcW w:w="6629" w:type="dxa"/>
            <w:tcBorders>
              <w:top w:val="dashSmallGap" w:sz="4" w:space="0" w:color="000000"/>
              <w:bottom w:val="single" w:sz="2" w:space="0" w:color="000000"/>
            </w:tcBorders>
          </w:tcPr>
          <w:p w14:paraId="710B3E4B" w14:textId="2A3D5FB8" w:rsidR="0047401B" w:rsidRPr="00B50EE5" w:rsidRDefault="0047401B" w:rsidP="003C53A3">
            <w:pPr>
              <w:jc w:val="both"/>
              <w:rPr>
                <w:rFonts w:ascii="Arial" w:hAnsi="Arial" w:cs="Arial"/>
                <w:b/>
              </w:rPr>
            </w:pPr>
            <w:r w:rsidRPr="00B50EE5">
              <w:rPr>
                <w:rFonts w:ascii="Arial" w:hAnsi="Arial" w:cs="Arial"/>
                <w:b/>
              </w:rPr>
              <w:t>Sur deux trimestres (</w:t>
            </w:r>
            <w:r w:rsidR="00A52309" w:rsidRPr="00B50EE5">
              <w:rPr>
                <w:rFonts w:ascii="Arial" w:hAnsi="Arial" w:cs="Arial"/>
                <w:b/>
              </w:rPr>
              <w:t>201</w:t>
            </w:r>
            <w:r w:rsidR="003C53A3" w:rsidRPr="00B50EE5">
              <w:rPr>
                <w:rFonts w:ascii="Arial" w:hAnsi="Arial" w:cs="Arial"/>
                <w:b/>
              </w:rPr>
              <w:t>9</w:t>
            </w:r>
            <w:r w:rsidR="00A52309" w:rsidRPr="00B50EE5">
              <w:rPr>
                <w:rFonts w:ascii="Arial" w:hAnsi="Arial" w:cs="Arial"/>
                <w:b/>
              </w:rPr>
              <w:t xml:space="preserve"> T</w:t>
            </w:r>
            <w:r w:rsidR="003C53A3" w:rsidRPr="00B50EE5">
              <w:rPr>
                <w:rFonts w:ascii="Arial" w:hAnsi="Arial" w:cs="Arial"/>
                <w:b/>
              </w:rPr>
              <w:t>1</w:t>
            </w:r>
            <w:r w:rsidR="00A52309" w:rsidRPr="00B50EE5">
              <w:rPr>
                <w:rFonts w:ascii="Arial" w:hAnsi="Arial" w:cs="Arial"/>
                <w:b/>
              </w:rPr>
              <w:t xml:space="preserve"> → 2019 T</w:t>
            </w:r>
            <w:r w:rsidR="003C53A3" w:rsidRPr="00B50EE5">
              <w:rPr>
                <w:rFonts w:ascii="Arial" w:hAnsi="Arial" w:cs="Arial"/>
                <w:b/>
              </w:rPr>
              <w:t>2</w:t>
            </w:r>
            <w:r w:rsidR="00A52309" w:rsidRPr="00B50EE5">
              <w:rPr>
                <w:rFonts w:ascii="Arial" w:hAnsi="Arial" w:cs="Arial"/>
                <w:b/>
              </w:rPr>
              <w:t xml:space="preserve"> / 201</w:t>
            </w:r>
            <w:r w:rsidR="003C53A3" w:rsidRPr="00B50EE5">
              <w:rPr>
                <w:rFonts w:ascii="Arial" w:hAnsi="Arial" w:cs="Arial"/>
                <w:b/>
              </w:rPr>
              <w:t>8</w:t>
            </w:r>
            <w:r w:rsidR="00A52309" w:rsidRPr="00B50EE5">
              <w:rPr>
                <w:rFonts w:ascii="Arial" w:hAnsi="Arial" w:cs="Arial"/>
                <w:b/>
              </w:rPr>
              <w:t xml:space="preserve"> T</w:t>
            </w:r>
            <w:r w:rsidR="003C53A3" w:rsidRPr="00B50EE5">
              <w:rPr>
                <w:rFonts w:ascii="Arial" w:hAnsi="Arial" w:cs="Arial"/>
                <w:b/>
              </w:rPr>
              <w:t>1</w:t>
            </w:r>
            <w:r w:rsidR="00A52309" w:rsidRPr="00B50EE5">
              <w:rPr>
                <w:rFonts w:ascii="Arial" w:hAnsi="Arial" w:cs="Arial"/>
                <w:b/>
              </w:rPr>
              <w:t xml:space="preserve"> → 2018 T</w:t>
            </w:r>
            <w:r w:rsidR="003C53A3" w:rsidRPr="00B50EE5">
              <w:rPr>
                <w:rFonts w:ascii="Arial" w:hAnsi="Arial" w:cs="Arial"/>
                <w:b/>
              </w:rPr>
              <w:t>2</w:t>
            </w:r>
            <w:r w:rsidR="00A52309" w:rsidRPr="00B50EE5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206" w:type="dxa"/>
            <w:tcBorders>
              <w:top w:val="dashSmallGap" w:sz="4" w:space="0" w:color="000000"/>
              <w:bottom w:val="single" w:sz="2" w:space="0" w:color="000000"/>
            </w:tcBorders>
          </w:tcPr>
          <w:p w14:paraId="5761C5B2" w14:textId="57160C99" w:rsidR="0047401B" w:rsidRPr="00B50EE5" w:rsidRDefault="002E6918" w:rsidP="00EA79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-0,7 %</w:t>
            </w:r>
          </w:p>
        </w:tc>
        <w:tc>
          <w:tcPr>
            <w:tcW w:w="1207" w:type="dxa"/>
            <w:tcBorders>
              <w:top w:val="dashSmallGap" w:sz="4" w:space="0" w:color="000000"/>
              <w:bottom w:val="single" w:sz="2" w:space="0" w:color="000000"/>
            </w:tcBorders>
          </w:tcPr>
          <w:p w14:paraId="5CEA20A5" w14:textId="49C192DA" w:rsidR="0047401B" w:rsidRPr="00B50EE5" w:rsidRDefault="002E6918" w:rsidP="00EA79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-22,1 %</w:t>
            </w:r>
          </w:p>
        </w:tc>
      </w:tr>
      <w:tr w:rsidR="0047401B" w14:paraId="06C05605" w14:textId="77777777" w:rsidTr="00193327">
        <w:tc>
          <w:tcPr>
            <w:tcW w:w="6629" w:type="dxa"/>
            <w:tcBorders>
              <w:top w:val="dashSmallGap" w:sz="4" w:space="0" w:color="000000"/>
              <w:bottom w:val="single" w:sz="2" w:space="0" w:color="000000"/>
            </w:tcBorders>
          </w:tcPr>
          <w:p w14:paraId="38C8B4D2" w14:textId="11B6DD0F" w:rsidR="0047401B" w:rsidRPr="00F7695F" w:rsidRDefault="0047401B" w:rsidP="003C53A3">
            <w:pPr>
              <w:jc w:val="both"/>
              <w:rPr>
                <w:rFonts w:ascii="Arial" w:hAnsi="Arial" w:cs="Arial"/>
              </w:rPr>
            </w:pPr>
            <w:r w:rsidRPr="00F7695F">
              <w:rPr>
                <w:rFonts w:ascii="Arial" w:hAnsi="Arial" w:cs="Arial"/>
              </w:rPr>
              <w:t>Sur trois trimestres (201</w:t>
            </w:r>
            <w:r w:rsidR="005F0FF7">
              <w:rPr>
                <w:rFonts w:ascii="Arial" w:hAnsi="Arial" w:cs="Arial"/>
              </w:rPr>
              <w:t>8</w:t>
            </w:r>
            <w:r w:rsidRPr="00F7695F">
              <w:rPr>
                <w:rFonts w:ascii="Arial" w:hAnsi="Arial" w:cs="Arial"/>
              </w:rPr>
              <w:t xml:space="preserve"> T</w:t>
            </w:r>
            <w:r w:rsidR="003C53A3">
              <w:rPr>
                <w:rFonts w:ascii="Arial" w:hAnsi="Arial" w:cs="Arial"/>
              </w:rPr>
              <w:t>4</w:t>
            </w:r>
            <w:r w:rsidRPr="00F7695F">
              <w:rPr>
                <w:rFonts w:ascii="Arial" w:hAnsi="Arial" w:cs="Arial"/>
              </w:rPr>
              <w:t xml:space="preserve"> → 201</w:t>
            </w:r>
            <w:r w:rsidR="00A52309">
              <w:rPr>
                <w:rFonts w:ascii="Arial" w:hAnsi="Arial" w:cs="Arial"/>
              </w:rPr>
              <w:t>9</w:t>
            </w:r>
            <w:r w:rsidRPr="00F7695F">
              <w:rPr>
                <w:rFonts w:ascii="Arial" w:hAnsi="Arial" w:cs="Arial"/>
              </w:rPr>
              <w:t xml:space="preserve"> T</w:t>
            </w:r>
            <w:r w:rsidR="003C53A3">
              <w:rPr>
                <w:rFonts w:ascii="Arial" w:hAnsi="Arial" w:cs="Arial"/>
              </w:rPr>
              <w:t>2</w:t>
            </w:r>
            <w:r w:rsidRPr="00F7695F">
              <w:rPr>
                <w:rFonts w:ascii="Arial" w:hAnsi="Arial" w:cs="Arial"/>
              </w:rPr>
              <w:t xml:space="preserve"> / 201</w:t>
            </w:r>
            <w:r w:rsidR="005F0FF7">
              <w:rPr>
                <w:rFonts w:ascii="Arial" w:hAnsi="Arial" w:cs="Arial"/>
              </w:rPr>
              <w:t>7</w:t>
            </w:r>
            <w:r w:rsidRPr="00F7695F">
              <w:rPr>
                <w:rFonts w:ascii="Arial" w:hAnsi="Arial" w:cs="Arial"/>
              </w:rPr>
              <w:t xml:space="preserve"> T</w:t>
            </w:r>
            <w:r w:rsidR="003C53A3">
              <w:rPr>
                <w:rFonts w:ascii="Arial" w:hAnsi="Arial" w:cs="Arial"/>
              </w:rPr>
              <w:t>4</w:t>
            </w:r>
            <w:r w:rsidRPr="00F7695F">
              <w:rPr>
                <w:rFonts w:ascii="Arial" w:hAnsi="Arial" w:cs="Arial"/>
              </w:rPr>
              <w:t xml:space="preserve"> → 201</w:t>
            </w:r>
            <w:r w:rsidR="00A52309">
              <w:rPr>
                <w:rFonts w:ascii="Arial" w:hAnsi="Arial" w:cs="Arial"/>
              </w:rPr>
              <w:t>8</w:t>
            </w:r>
            <w:r w:rsidRPr="00F7695F">
              <w:rPr>
                <w:rFonts w:ascii="Arial" w:hAnsi="Arial" w:cs="Arial"/>
              </w:rPr>
              <w:t xml:space="preserve"> T</w:t>
            </w:r>
            <w:r w:rsidR="003C53A3">
              <w:rPr>
                <w:rFonts w:ascii="Arial" w:hAnsi="Arial" w:cs="Arial"/>
              </w:rPr>
              <w:t>2</w:t>
            </w:r>
            <w:r w:rsidRPr="00F7695F">
              <w:rPr>
                <w:rFonts w:ascii="Arial" w:hAnsi="Arial" w:cs="Arial"/>
              </w:rPr>
              <w:t>)</w:t>
            </w:r>
          </w:p>
        </w:tc>
        <w:tc>
          <w:tcPr>
            <w:tcW w:w="1206" w:type="dxa"/>
            <w:tcBorders>
              <w:top w:val="dashSmallGap" w:sz="4" w:space="0" w:color="000000"/>
              <w:bottom w:val="single" w:sz="2" w:space="0" w:color="000000"/>
            </w:tcBorders>
          </w:tcPr>
          <w:p w14:paraId="06CDB1DC" w14:textId="6C8F4E15" w:rsidR="0047401B" w:rsidRPr="00B1144B" w:rsidRDefault="002E6918" w:rsidP="00EA79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-0,9 %</w:t>
            </w:r>
          </w:p>
        </w:tc>
        <w:tc>
          <w:tcPr>
            <w:tcW w:w="1207" w:type="dxa"/>
            <w:tcBorders>
              <w:top w:val="dashSmallGap" w:sz="4" w:space="0" w:color="000000"/>
              <w:bottom w:val="single" w:sz="2" w:space="0" w:color="000000"/>
            </w:tcBorders>
          </w:tcPr>
          <w:p w14:paraId="1C2D0909" w14:textId="48CD5D93" w:rsidR="0047401B" w:rsidRPr="00B1144B" w:rsidRDefault="002E6918" w:rsidP="00EA79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-18,9 %</w:t>
            </w:r>
          </w:p>
        </w:tc>
      </w:tr>
      <w:tr w:rsidR="0047401B" w14:paraId="7D6AD8A9" w14:textId="77777777" w:rsidTr="00193327">
        <w:tc>
          <w:tcPr>
            <w:tcW w:w="6629" w:type="dxa"/>
            <w:tcBorders>
              <w:top w:val="dashSmallGap" w:sz="4" w:space="0" w:color="000000"/>
              <w:bottom w:val="single" w:sz="12" w:space="0" w:color="000000"/>
            </w:tcBorders>
          </w:tcPr>
          <w:p w14:paraId="1BB0B6B1" w14:textId="333AEA59" w:rsidR="0047401B" w:rsidRPr="00896968" w:rsidRDefault="0047401B" w:rsidP="003C53A3">
            <w:pPr>
              <w:jc w:val="both"/>
              <w:rPr>
                <w:rFonts w:ascii="Arial" w:hAnsi="Arial" w:cs="Arial"/>
              </w:rPr>
            </w:pPr>
            <w:r w:rsidRPr="00896968">
              <w:rPr>
                <w:rFonts w:ascii="Arial" w:hAnsi="Arial" w:cs="Arial"/>
              </w:rPr>
              <w:t xml:space="preserve">Sur un an </w:t>
            </w:r>
            <w:r w:rsidR="00A52309" w:rsidRPr="00896968">
              <w:rPr>
                <w:rFonts w:ascii="Arial" w:hAnsi="Arial" w:cs="Arial"/>
              </w:rPr>
              <w:t>(2018 T</w:t>
            </w:r>
            <w:r w:rsidR="003C53A3">
              <w:rPr>
                <w:rFonts w:ascii="Arial" w:hAnsi="Arial" w:cs="Arial"/>
              </w:rPr>
              <w:t>3</w:t>
            </w:r>
            <w:r w:rsidR="00A52309" w:rsidRPr="00896968">
              <w:rPr>
                <w:rFonts w:ascii="Arial" w:hAnsi="Arial" w:cs="Arial"/>
              </w:rPr>
              <w:t xml:space="preserve"> → 2019 T</w:t>
            </w:r>
            <w:r w:rsidR="003C53A3">
              <w:rPr>
                <w:rFonts w:ascii="Arial" w:hAnsi="Arial" w:cs="Arial"/>
              </w:rPr>
              <w:t>2</w:t>
            </w:r>
            <w:r w:rsidR="00A52309" w:rsidRPr="00896968">
              <w:rPr>
                <w:rFonts w:ascii="Arial" w:hAnsi="Arial" w:cs="Arial"/>
              </w:rPr>
              <w:t xml:space="preserve"> / 2017 T</w:t>
            </w:r>
            <w:r w:rsidR="003C53A3">
              <w:rPr>
                <w:rFonts w:ascii="Arial" w:hAnsi="Arial" w:cs="Arial"/>
              </w:rPr>
              <w:t>3</w:t>
            </w:r>
            <w:r w:rsidR="00A52309" w:rsidRPr="00896968">
              <w:rPr>
                <w:rFonts w:ascii="Arial" w:hAnsi="Arial" w:cs="Arial"/>
              </w:rPr>
              <w:t xml:space="preserve"> → 2018 T</w:t>
            </w:r>
            <w:r w:rsidR="003C53A3">
              <w:rPr>
                <w:rFonts w:ascii="Arial" w:hAnsi="Arial" w:cs="Arial"/>
              </w:rPr>
              <w:t>2</w:t>
            </w:r>
            <w:r w:rsidR="00A52309" w:rsidRPr="00896968">
              <w:rPr>
                <w:rFonts w:ascii="Arial" w:hAnsi="Arial" w:cs="Arial"/>
              </w:rPr>
              <w:t>)</w:t>
            </w:r>
          </w:p>
        </w:tc>
        <w:tc>
          <w:tcPr>
            <w:tcW w:w="1206" w:type="dxa"/>
            <w:tcBorders>
              <w:top w:val="dashSmallGap" w:sz="4" w:space="0" w:color="000000"/>
              <w:bottom w:val="single" w:sz="12" w:space="0" w:color="000000"/>
            </w:tcBorders>
          </w:tcPr>
          <w:p w14:paraId="655D529B" w14:textId="1FC5CF70" w:rsidR="0047401B" w:rsidRPr="00896968" w:rsidRDefault="002E6918" w:rsidP="00EA79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-2,2 %</w:t>
            </w:r>
          </w:p>
        </w:tc>
        <w:tc>
          <w:tcPr>
            <w:tcW w:w="1207" w:type="dxa"/>
            <w:tcBorders>
              <w:top w:val="dashSmallGap" w:sz="4" w:space="0" w:color="000000"/>
              <w:bottom w:val="single" w:sz="12" w:space="0" w:color="000000"/>
            </w:tcBorders>
          </w:tcPr>
          <w:p w14:paraId="4836E7E3" w14:textId="43811E9D" w:rsidR="0047401B" w:rsidRPr="00896968" w:rsidRDefault="002E6918" w:rsidP="00EA79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-14,4 %</w:t>
            </w:r>
          </w:p>
        </w:tc>
      </w:tr>
    </w:tbl>
    <w:p w14:paraId="0706CC80" w14:textId="77777777" w:rsidR="0047401B" w:rsidRDefault="0047401B" w:rsidP="0047401B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lastRenderedPageBreak/>
        <w:t>Source : Ministère de la transition écologique et solidaire (MTES) / Commissariat général au développement durable (CGDD) / Service de la donnée et des études statistiques (SDES), Enquête sur la commercialisation des logements neufs (ECLN)</w:t>
      </w:r>
    </w:p>
    <w:p w14:paraId="4F452F51" w14:textId="3EAA932E" w:rsidR="0047401B" w:rsidRDefault="0047401B" w:rsidP="00051B72">
      <w:pPr>
        <w:pStyle w:val="Sansinterligne"/>
        <w:spacing w:line="360" w:lineRule="auto"/>
      </w:pPr>
    </w:p>
    <w:p w14:paraId="4EC12783" w14:textId="544680CD" w:rsidR="00845014" w:rsidRDefault="00267A3C" w:rsidP="00845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Quant aux </w:t>
      </w:r>
      <w:r w:rsidR="001A5721" w:rsidRPr="001A5721">
        <w:rPr>
          <w:rFonts w:ascii="Arial" w:hAnsi="Arial" w:cs="Arial"/>
        </w:rPr>
        <w:t xml:space="preserve">mises en vente, elles s’effondrent de </w:t>
      </w:r>
      <w:r w:rsidR="00DA7A51">
        <w:rPr>
          <w:rFonts w:ascii="Arial" w:hAnsi="Arial" w:cs="Arial"/>
        </w:rPr>
        <w:t>22,1 </w:t>
      </w:r>
      <w:r w:rsidR="001A5721" w:rsidRPr="001A5721">
        <w:rPr>
          <w:rFonts w:ascii="Arial" w:hAnsi="Arial" w:cs="Arial"/>
        </w:rPr>
        <w:t>% au premier semestre 2019</w:t>
      </w:r>
      <w:r>
        <w:rPr>
          <w:rFonts w:ascii="Arial" w:hAnsi="Arial" w:cs="Arial"/>
        </w:rPr>
        <w:t xml:space="preserve"> par rapport au premier semestre 2018</w:t>
      </w:r>
      <w:r w:rsidR="007436BD">
        <w:rPr>
          <w:rFonts w:ascii="Arial" w:hAnsi="Arial" w:cs="Arial"/>
        </w:rPr>
        <w:t>. Si</w:t>
      </w:r>
      <w:r>
        <w:rPr>
          <w:rFonts w:ascii="Arial" w:hAnsi="Arial" w:cs="Arial"/>
        </w:rPr>
        <w:t xml:space="preserve"> </w:t>
      </w:r>
      <w:r w:rsidRPr="001A5721">
        <w:rPr>
          <w:rFonts w:ascii="Arial" w:hAnsi="Arial" w:cs="Arial"/>
        </w:rPr>
        <w:t xml:space="preserve">la </w:t>
      </w:r>
      <w:r w:rsidR="007436BD">
        <w:rPr>
          <w:rFonts w:ascii="Arial" w:hAnsi="Arial" w:cs="Arial"/>
        </w:rPr>
        <w:t>chute</w:t>
      </w:r>
      <w:r w:rsidRPr="001A5721">
        <w:rPr>
          <w:rFonts w:ascii="Arial" w:hAnsi="Arial" w:cs="Arial"/>
        </w:rPr>
        <w:t xml:space="preserve"> s’</w:t>
      </w:r>
      <w:r w:rsidR="0043006F" w:rsidRPr="001A5721">
        <w:rPr>
          <w:rFonts w:ascii="Arial" w:hAnsi="Arial" w:cs="Arial"/>
        </w:rPr>
        <w:t>av</w:t>
      </w:r>
      <w:r w:rsidR="0043006F">
        <w:rPr>
          <w:rFonts w:ascii="Arial" w:hAnsi="Arial" w:cs="Arial"/>
        </w:rPr>
        <w:t>ère</w:t>
      </w:r>
      <w:r w:rsidRPr="001A5721">
        <w:rPr>
          <w:rFonts w:ascii="Arial" w:hAnsi="Arial" w:cs="Arial"/>
        </w:rPr>
        <w:t xml:space="preserve">, </w:t>
      </w:r>
      <w:r w:rsidR="00825E0A">
        <w:rPr>
          <w:rFonts w:ascii="Arial" w:hAnsi="Arial" w:cs="Arial"/>
        </w:rPr>
        <w:t xml:space="preserve">là encore, </w:t>
      </w:r>
      <w:r w:rsidRPr="001A5721">
        <w:rPr>
          <w:rFonts w:ascii="Arial" w:hAnsi="Arial" w:cs="Arial"/>
        </w:rPr>
        <w:t>la plus marquée pour les zones B2 et C, à -43,6</w:t>
      </w:r>
      <w:r>
        <w:rPr>
          <w:rFonts w:ascii="Arial" w:hAnsi="Arial" w:cs="Arial"/>
        </w:rPr>
        <w:t> </w:t>
      </w:r>
      <w:r w:rsidRPr="001A5721">
        <w:rPr>
          <w:rFonts w:ascii="Arial" w:hAnsi="Arial" w:cs="Arial"/>
        </w:rPr>
        <w:t xml:space="preserve">%, </w:t>
      </w:r>
      <w:r w:rsidR="007436BD">
        <w:rPr>
          <w:rFonts w:ascii="Arial" w:hAnsi="Arial" w:cs="Arial"/>
        </w:rPr>
        <w:t xml:space="preserve">elle s’établit toutefois à </w:t>
      </w:r>
      <w:r w:rsidR="00DA7A51">
        <w:rPr>
          <w:rFonts w:ascii="Arial" w:hAnsi="Arial" w:cs="Arial"/>
        </w:rPr>
        <w:t>-24,5 </w:t>
      </w:r>
      <w:r w:rsidRPr="001A5721">
        <w:rPr>
          <w:rFonts w:ascii="Arial" w:hAnsi="Arial" w:cs="Arial"/>
        </w:rPr>
        <w:t xml:space="preserve">% en A-Abis et </w:t>
      </w:r>
      <w:r w:rsidR="00DA7A51">
        <w:rPr>
          <w:rFonts w:ascii="Arial" w:hAnsi="Arial" w:cs="Arial"/>
        </w:rPr>
        <w:t xml:space="preserve">à </w:t>
      </w:r>
      <w:r w:rsidRPr="001A5721">
        <w:rPr>
          <w:rFonts w:ascii="Arial" w:hAnsi="Arial" w:cs="Arial"/>
        </w:rPr>
        <w:t>-10,0</w:t>
      </w:r>
      <w:r w:rsidR="00DA7A51">
        <w:rPr>
          <w:rFonts w:ascii="Arial" w:hAnsi="Arial" w:cs="Arial"/>
        </w:rPr>
        <w:t> </w:t>
      </w:r>
      <w:r w:rsidRPr="001A5721">
        <w:rPr>
          <w:rFonts w:ascii="Arial" w:hAnsi="Arial" w:cs="Arial"/>
        </w:rPr>
        <w:t>% en B1.</w:t>
      </w:r>
      <w:r w:rsidR="00825E0A">
        <w:rPr>
          <w:rFonts w:ascii="Arial" w:hAnsi="Arial" w:cs="Arial"/>
        </w:rPr>
        <w:t xml:space="preserve"> </w:t>
      </w:r>
      <w:r w:rsidR="0043006F">
        <w:rPr>
          <w:rFonts w:ascii="Arial" w:hAnsi="Arial" w:cs="Arial"/>
        </w:rPr>
        <w:t>En revanche</w:t>
      </w:r>
      <w:r w:rsidR="00825E0A">
        <w:rPr>
          <w:rFonts w:ascii="Arial" w:hAnsi="Arial" w:cs="Arial"/>
        </w:rPr>
        <w:t xml:space="preserve">, </w:t>
      </w:r>
      <w:r w:rsidR="00DA7A51">
        <w:rPr>
          <w:rFonts w:ascii="Arial" w:hAnsi="Arial" w:cs="Arial"/>
        </w:rPr>
        <w:t>le mouvement</w:t>
      </w:r>
      <w:r w:rsidR="00825E0A" w:rsidRPr="001A5721">
        <w:rPr>
          <w:rFonts w:ascii="Arial" w:hAnsi="Arial" w:cs="Arial"/>
        </w:rPr>
        <w:t xml:space="preserve"> </w:t>
      </w:r>
      <w:r w:rsidR="00DA7A51">
        <w:rPr>
          <w:rFonts w:ascii="Arial" w:hAnsi="Arial" w:cs="Arial"/>
        </w:rPr>
        <w:t>se tasse, à -14,8 %</w:t>
      </w:r>
      <w:r w:rsidR="00825E0A" w:rsidRPr="001A5721">
        <w:rPr>
          <w:rFonts w:ascii="Arial" w:hAnsi="Arial" w:cs="Arial"/>
        </w:rPr>
        <w:t xml:space="preserve"> </w:t>
      </w:r>
      <w:r w:rsidR="00825E0A">
        <w:rPr>
          <w:rFonts w:ascii="Arial" w:hAnsi="Arial" w:cs="Arial"/>
        </w:rPr>
        <w:t xml:space="preserve">en glissement annuel </w:t>
      </w:r>
      <w:r w:rsidR="00825E0A" w:rsidRPr="001A5721">
        <w:rPr>
          <w:rFonts w:ascii="Arial" w:hAnsi="Arial" w:cs="Arial"/>
        </w:rPr>
        <w:t>sur trois mois à fin juin 2019</w:t>
      </w:r>
      <w:r w:rsidR="00DA7A51">
        <w:rPr>
          <w:rFonts w:ascii="Arial" w:hAnsi="Arial" w:cs="Arial"/>
        </w:rPr>
        <w:t>, et continuerait à ralentir sur l</w:t>
      </w:r>
      <w:r w:rsidR="00825E0A">
        <w:rPr>
          <w:rFonts w:ascii="Arial" w:hAnsi="Arial" w:cs="Arial"/>
        </w:rPr>
        <w:t>a fin 2019</w:t>
      </w:r>
      <w:r w:rsidR="00DA7A51">
        <w:rPr>
          <w:rFonts w:ascii="Arial" w:hAnsi="Arial" w:cs="Arial"/>
        </w:rPr>
        <w:t xml:space="preserve"> selon </w:t>
      </w:r>
      <w:r w:rsidR="001A5721" w:rsidRPr="001A5721">
        <w:rPr>
          <w:rFonts w:ascii="Arial" w:hAnsi="Arial" w:cs="Arial"/>
        </w:rPr>
        <w:t>les enquêtes d’opinion de l’Insee dans la promotion immobilière</w:t>
      </w:r>
      <w:r w:rsidR="00DA7A51">
        <w:rPr>
          <w:rFonts w:ascii="Arial" w:hAnsi="Arial" w:cs="Arial"/>
        </w:rPr>
        <w:t xml:space="preserve">. De fait, </w:t>
      </w:r>
      <w:r w:rsidR="001A5721" w:rsidRPr="001A5721">
        <w:rPr>
          <w:rFonts w:ascii="Arial" w:hAnsi="Arial" w:cs="Arial"/>
        </w:rPr>
        <w:t>les perspectives de mises en chantier s</w:t>
      </w:r>
      <w:r w:rsidR="00DA7A51">
        <w:rPr>
          <w:rFonts w:ascii="Arial" w:hAnsi="Arial" w:cs="Arial"/>
        </w:rPr>
        <w:t>’y</w:t>
      </w:r>
      <w:r w:rsidR="001A5721" w:rsidRPr="001A5721">
        <w:rPr>
          <w:rFonts w:ascii="Arial" w:hAnsi="Arial" w:cs="Arial"/>
        </w:rPr>
        <w:t xml:space="preserve"> redress</w:t>
      </w:r>
      <w:r w:rsidR="002B4937">
        <w:rPr>
          <w:rFonts w:ascii="Arial" w:hAnsi="Arial" w:cs="Arial"/>
        </w:rPr>
        <w:t>e</w:t>
      </w:r>
      <w:r w:rsidR="001A5721" w:rsidRPr="001A5721">
        <w:rPr>
          <w:rFonts w:ascii="Arial" w:hAnsi="Arial" w:cs="Arial"/>
        </w:rPr>
        <w:t xml:space="preserve">nt progressivement grâce à l’accession. </w:t>
      </w:r>
      <w:r w:rsidR="000E635F">
        <w:rPr>
          <w:rFonts w:ascii="Arial" w:hAnsi="Arial" w:cs="Arial"/>
        </w:rPr>
        <w:t>D’</w:t>
      </w:r>
      <w:r w:rsidR="001A5721" w:rsidRPr="001A5721">
        <w:rPr>
          <w:rFonts w:ascii="Arial" w:hAnsi="Arial" w:cs="Arial"/>
        </w:rPr>
        <w:t xml:space="preserve">ailleurs, </w:t>
      </w:r>
      <w:r w:rsidR="00DA7A51">
        <w:rPr>
          <w:rFonts w:ascii="Arial" w:hAnsi="Arial" w:cs="Arial"/>
        </w:rPr>
        <w:t>la proportion d</w:t>
      </w:r>
      <w:r w:rsidR="001A5721" w:rsidRPr="001A5721">
        <w:rPr>
          <w:rFonts w:ascii="Arial" w:hAnsi="Arial" w:cs="Arial"/>
        </w:rPr>
        <w:t xml:space="preserve">e promoteurs </w:t>
      </w:r>
      <w:r w:rsidR="00DA7A51">
        <w:rPr>
          <w:rFonts w:ascii="Arial" w:hAnsi="Arial" w:cs="Arial"/>
        </w:rPr>
        <w:t>dési</w:t>
      </w:r>
      <w:r w:rsidR="00DA7A51" w:rsidRPr="001A5721">
        <w:rPr>
          <w:rFonts w:ascii="Arial" w:hAnsi="Arial" w:cs="Arial"/>
        </w:rPr>
        <w:t>r</w:t>
      </w:r>
      <w:r w:rsidR="00DA7A51">
        <w:rPr>
          <w:rFonts w:ascii="Arial" w:hAnsi="Arial" w:cs="Arial"/>
        </w:rPr>
        <w:t>ant</w:t>
      </w:r>
      <w:r w:rsidR="00DA7A51" w:rsidRPr="001A5721">
        <w:rPr>
          <w:rFonts w:ascii="Arial" w:hAnsi="Arial" w:cs="Arial"/>
        </w:rPr>
        <w:t xml:space="preserve"> mettre à l’étude de nouveaux programmes immobiliers </w:t>
      </w:r>
      <w:r w:rsidR="00DA7A51">
        <w:rPr>
          <w:rFonts w:ascii="Arial" w:hAnsi="Arial" w:cs="Arial"/>
        </w:rPr>
        <w:t>renoue avec de hauts niveaux</w:t>
      </w:r>
      <w:r w:rsidR="001A5721" w:rsidRPr="001A5721">
        <w:rPr>
          <w:rFonts w:ascii="Arial" w:hAnsi="Arial" w:cs="Arial"/>
        </w:rPr>
        <w:t xml:space="preserve"> (64,9</w:t>
      </w:r>
      <w:r w:rsidR="004315D8">
        <w:rPr>
          <w:rFonts w:ascii="Arial" w:hAnsi="Arial" w:cs="Arial"/>
        </w:rPr>
        <w:t> </w:t>
      </w:r>
      <w:r w:rsidR="001A5721" w:rsidRPr="001A5721">
        <w:rPr>
          <w:rFonts w:ascii="Arial" w:hAnsi="Arial" w:cs="Arial"/>
        </w:rPr>
        <w:t>% à fin juillet 2019, contre 60,2</w:t>
      </w:r>
      <w:r w:rsidR="00DA7A51">
        <w:rPr>
          <w:rFonts w:ascii="Arial" w:hAnsi="Arial" w:cs="Arial"/>
        </w:rPr>
        <w:t> </w:t>
      </w:r>
      <w:r w:rsidR="001A5721" w:rsidRPr="001A5721">
        <w:rPr>
          <w:rFonts w:ascii="Arial" w:hAnsi="Arial" w:cs="Arial"/>
        </w:rPr>
        <w:t>% à fin avril 2019 et 57,7</w:t>
      </w:r>
      <w:r w:rsidR="00DA7A51">
        <w:rPr>
          <w:rFonts w:ascii="Arial" w:hAnsi="Arial" w:cs="Arial"/>
        </w:rPr>
        <w:t> </w:t>
      </w:r>
      <w:r w:rsidR="001A5721" w:rsidRPr="001A5721">
        <w:rPr>
          <w:rFonts w:ascii="Arial" w:hAnsi="Arial" w:cs="Arial"/>
        </w:rPr>
        <w:t>% à fin janvier 2019</w:t>
      </w:r>
      <w:r w:rsidR="00B4291A">
        <w:rPr>
          <w:rFonts w:ascii="Arial" w:hAnsi="Arial" w:cs="Arial"/>
        </w:rPr>
        <w:t>, cf. graphique 5</w:t>
      </w:r>
      <w:r w:rsidR="001A5721" w:rsidRPr="001A5721">
        <w:rPr>
          <w:rFonts w:ascii="Arial" w:hAnsi="Arial" w:cs="Arial"/>
        </w:rPr>
        <w:t>).</w:t>
      </w:r>
    </w:p>
    <w:p w14:paraId="527046AE" w14:textId="5A776B75" w:rsidR="00845014" w:rsidRDefault="00845014">
      <w:pPr>
        <w:rPr>
          <w:rFonts w:ascii="Arial" w:hAnsi="Arial" w:cs="Arial"/>
        </w:rPr>
      </w:pPr>
    </w:p>
    <w:p w14:paraId="0BA4D5DE" w14:textId="1A6A2F90" w:rsidR="009772C0" w:rsidRPr="00A110EC" w:rsidRDefault="009772C0" w:rsidP="009772C0">
      <w:pPr>
        <w:spacing w:after="0" w:line="312" w:lineRule="auto"/>
        <w:jc w:val="center"/>
        <w:rPr>
          <w:rFonts w:ascii="Arial" w:hAnsi="Arial" w:cs="Arial"/>
        </w:rPr>
      </w:pPr>
      <w:r w:rsidRPr="00A110EC">
        <w:rPr>
          <w:rFonts w:ascii="Arial" w:hAnsi="Arial" w:cs="Arial"/>
        </w:rPr>
        <w:t xml:space="preserve">Graphique 5 – </w:t>
      </w:r>
      <w:r w:rsidRPr="00A110EC">
        <w:rPr>
          <w:rFonts w:ascii="Arial" w:hAnsi="Arial" w:cs="Arial"/>
          <w:b/>
        </w:rPr>
        <w:t>Souhaits de mise à l’étude de nouveaux programmes par les promoteurs</w:t>
      </w:r>
    </w:p>
    <w:p w14:paraId="4DAD5E25" w14:textId="6421D8C9" w:rsidR="009772C0" w:rsidRPr="00A110EC" w:rsidRDefault="001A5721" w:rsidP="009772C0">
      <w:pPr>
        <w:spacing w:after="0" w:line="312" w:lineRule="auto"/>
        <w:jc w:val="center"/>
        <w:rPr>
          <w:rFonts w:ascii="Arial" w:hAnsi="Arial" w:cs="Arial"/>
          <w:b/>
        </w:rPr>
      </w:pPr>
      <w:r w:rsidRPr="001A5721">
        <w:rPr>
          <w:rFonts w:ascii="Arial" w:hAnsi="Arial" w:cs="Arial"/>
          <w:b/>
          <w:noProof/>
          <w:lang w:eastAsia="fr-FR"/>
        </w:rPr>
        <w:drawing>
          <wp:inline distT="0" distB="0" distL="0" distR="0" wp14:anchorId="5119169F" wp14:editId="0BF5900D">
            <wp:extent cx="5184000" cy="31500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D7EE" w14:textId="0F0189A3" w:rsidR="008E0E3C" w:rsidRDefault="009772C0" w:rsidP="009772C0">
      <w:pPr>
        <w:spacing w:after="0" w:line="360" w:lineRule="auto"/>
        <w:jc w:val="center"/>
        <w:rPr>
          <w:rFonts w:ascii="Arial" w:hAnsi="Arial" w:cs="Arial"/>
        </w:rPr>
      </w:pPr>
      <w:r w:rsidRPr="00A110EC">
        <w:rPr>
          <w:rFonts w:ascii="Arial" w:hAnsi="Arial" w:cs="Arial"/>
          <w:i/>
          <w:sz w:val="20"/>
          <w:szCs w:val="20"/>
        </w:rPr>
        <w:t>Source : Insee, enquête trimestrielle de conjoncture dans la promotion immobilière</w:t>
      </w:r>
      <w:r w:rsidR="005A22F9" w:rsidRPr="00A110EC">
        <w:rPr>
          <w:rFonts w:ascii="Arial" w:hAnsi="Arial" w:cs="Arial"/>
        </w:rPr>
        <w:t xml:space="preserve"> </w:t>
      </w:r>
    </w:p>
    <w:p w14:paraId="0787517F" w14:textId="7C3DB795" w:rsidR="00866DEF" w:rsidRDefault="00866DEF" w:rsidP="009772C0">
      <w:pPr>
        <w:pStyle w:val="Sansinterligne"/>
        <w:spacing w:line="360" w:lineRule="auto"/>
      </w:pPr>
    </w:p>
    <w:p w14:paraId="54CBC15C" w14:textId="52CE1C0A" w:rsidR="00832FAD" w:rsidRDefault="001A5721" w:rsidP="00051B72">
      <w:pPr>
        <w:pStyle w:val="Sansinterligne"/>
        <w:spacing w:line="360" w:lineRule="auto"/>
        <w:jc w:val="both"/>
        <w:rPr>
          <w:rFonts w:ascii="Arial" w:hAnsi="Arial" w:cs="Arial"/>
        </w:rPr>
      </w:pPr>
      <w:r w:rsidRPr="001A5721">
        <w:rPr>
          <w:rFonts w:ascii="Arial" w:hAnsi="Arial" w:cs="Arial"/>
        </w:rPr>
        <w:t xml:space="preserve">À l’échelon </w:t>
      </w:r>
      <w:r w:rsidR="00BA6676">
        <w:rPr>
          <w:rFonts w:ascii="Arial" w:hAnsi="Arial" w:cs="Arial"/>
        </w:rPr>
        <w:t>infra-national</w:t>
      </w:r>
      <w:r w:rsidRPr="001A5721">
        <w:rPr>
          <w:rFonts w:ascii="Arial" w:hAnsi="Arial" w:cs="Arial"/>
        </w:rPr>
        <w:t xml:space="preserve">, </w:t>
      </w:r>
      <w:r w:rsidR="006C0666" w:rsidRPr="006C0666">
        <w:rPr>
          <w:rFonts w:ascii="Arial" w:hAnsi="Arial" w:cs="Arial"/>
        </w:rPr>
        <w:t>en glissement annuel sur</w:t>
      </w:r>
      <w:r w:rsidR="006C0666">
        <w:rPr>
          <w:rFonts w:ascii="Arial" w:hAnsi="Arial" w:cs="Arial"/>
        </w:rPr>
        <w:t xml:space="preserve"> trois mois à fin juillet 2019</w:t>
      </w:r>
      <w:r w:rsidR="006C0666" w:rsidRPr="006C0666">
        <w:rPr>
          <w:rFonts w:ascii="Arial" w:hAnsi="Arial" w:cs="Arial"/>
        </w:rPr>
        <w:t xml:space="preserve">, </w:t>
      </w:r>
      <w:r w:rsidR="006C0666">
        <w:rPr>
          <w:rFonts w:ascii="Arial" w:hAnsi="Arial" w:cs="Arial"/>
        </w:rPr>
        <w:t>toutes les r</w:t>
      </w:r>
      <w:r w:rsidR="006C0666" w:rsidRPr="006C0666">
        <w:rPr>
          <w:rFonts w:ascii="Arial" w:hAnsi="Arial" w:cs="Arial"/>
        </w:rPr>
        <w:t>égions enregistrent une progression de leurs ventes</w:t>
      </w:r>
      <w:r w:rsidR="006C0666">
        <w:rPr>
          <w:rFonts w:ascii="Arial" w:hAnsi="Arial" w:cs="Arial"/>
        </w:rPr>
        <w:t xml:space="preserve"> en individuel diffus</w:t>
      </w:r>
      <w:r w:rsidR="006C0666" w:rsidRPr="006C0666">
        <w:rPr>
          <w:rFonts w:ascii="Arial" w:hAnsi="Arial" w:cs="Arial"/>
        </w:rPr>
        <w:t xml:space="preserve"> (cf. carte </w:t>
      </w:r>
      <w:r w:rsidR="002E787D">
        <w:rPr>
          <w:rFonts w:ascii="Arial" w:hAnsi="Arial" w:cs="Arial"/>
        </w:rPr>
        <w:t>1a</w:t>
      </w:r>
      <w:r w:rsidR="006C0666" w:rsidRPr="006C0666">
        <w:rPr>
          <w:rFonts w:ascii="Arial" w:hAnsi="Arial" w:cs="Arial"/>
        </w:rPr>
        <w:t xml:space="preserve">). </w:t>
      </w:r>
      <w:r w:rsidR="00532924">
        <w:rPr>
          <w:rFonts w:ascii="Arial" w:hAnsi="Arial" w:cs="Arial"/>
        </w:rPr>
        <w:t>Les plus fortes hausses</w:t>
      </w:r>
      <w:r w:rsidR="009D6A25">
        <w:rPr>
          <w:rFonts w:ascii="Arial" w:hAnsi="Arial" w:cs="Arial"/>
        </w:rPr>
        <w:t xml:space="preserve"> (</w:t>
      </w:r>
      <w:r w:rsidR="00532924">
        <w:rPr>
          <w:rFonts w:ascii="Arial" w:hAnsi="Arial" w:cs="Arial"/>
        </w:rPr>
        <w:t>au-delà de 15 %</w:t>
      </w:r>
      <w:r w:rsidR="009D6A25">
        <w:rPr>
          <w:rFonts w:ascii="Arial" w:hAnsi="Arial" w:cs="Arial"/>
        </w:rPr>
        <w:t>)</w:t>
      </w:r>
      <w:r w:rsidR="00532924">
        <w:rPr>
          <w:rFonts w:ascii="Arial" w:hAnsi="Arial" w:cs="Arial"/>
        </w:rPr>
        <w:t>, se lisent en Occitanie, Centre-Val de Loire, Auvergne-Rhône-Alpes, Bourgogne-Franche-Comté et Bretagne.</w:t>
      </w:r>
      <w:r w:rsidR="002E787D">
        <w:rPr>
          <w:rFonts w:ascii="Arial" w:hAnsi="Arial" w:cs="Arial"/>
        </w:rPr>
        <w:t xml:space="preserve"> </w:t>
      </w:r>
    </w:p>
    <w:p w14:paraId="73FE7059" w14:textId="2D7AA09C" w:rsidR="00051B72" w:rsidRDefault="002E787D" w:rsidP="00051B72">
      <w:pPr>
        <w:pStyle w:val="Sansinterligne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Concernant les ventes des promoteurs, </w:t>
      </w:r>
      <w:r w:rsidR="001A5721" w:rsidRPr="001A5721">
        <w:rPr>
          <w:rFonts w:ascii="Arial" w:hAnsi="Arial" w:cs="Arial"/>
        </w:rPr>
        <w:t xml:space="preserve">en glissement annuel au premier semestre 2019, une bande qui va de la Normandie à Bourgogne-Franche-Comté, </w:t>
      </w:r>
      <w:r w:rsidR="00DA7A51">
        <w:rPr>
          <w:rFonts w:ascii="Arial" w:hAnsi="Arial" w:cs="Arial"/>
        </w:rPr>
        <w:t xml:space="preserve">puis remonte vers </w:t>
      </w:r>
      <w:r w:rsidR="001A5721" w:rsidRPr="001A5721">
        <w:rPr>
          <w:rFonts w:ascii="Arial" w:hAnsi="Arial" w:cs="Arial"/>
        </w:rPr>
        <w:t>le Grand-Est, fait mieux que résister, avec des hausses comprises entre 2,8</w:t>
      </w:r>
      <w:r w:rsidR="00DA7A51">
        <w:rPr>
          <w:rFonts w:ascii="Arial" w:hAnsi="Arial" w:cs="Arial"/>
        </w:rPr>
        <w:t> % et 9,8 </w:t>
      </w:r>
      <w:r w:rsidR="001A5721" w:rsidRPr="001A5721">
        <w:rPr>
          <w:rFonts w:ascii="Arial" w:hAnsi="Arial" w:cs="Arial"/>
        </w:rPr>
        <w:t>% (cf. carte 1</w:t>
      </w:r>
      <w:r>
        <w:rPr>
          <w:rFonts w:ascii="Arial" w:hAnsi="Arial" w:cs="Arial"/>
        </w:rPr>
        <w:t>b</w:t>
      </w:r>
      <w:r w:rsidR="001A5721" w:rsidRPr="001A5721">
        <w:rPr>
          <w:rFonts w:ascii="Arial" w:hAnsi="Arial" w:cs="Arial"/>
        </w:rPr>
        <w:t>). En revanche, le reste du territoire s’inscrit en baisse, singulièrement les façades atlantique et méditerranéenne.</w:t>
      </w:r>
    </w:p>
    <w:p w14:paraId="0C16D3C3" w14:textId="77777777" w:rsidR="003C53A3" w:rsidRDefault="003C53A3" w:rsidP="00051B72">
      <w:pPr>
        <w:pStyle w:val="Sansinterligne"/>
        <w:spacing w:line="360" w:lineRule="auto"/>
        <w:jc w:val="both"/>
        <w:rPr>
          <w:rFonts w:ascii="Arial" w:hAnsi="Arial" w:cs="Arial"/>
        </w:rPr>
      </w:pPr>
    </w:p>
    <w:p w14:paraId="1D130DA5" w14:textId="77777777" w:rsidR="00A06DE6" w:rsidRDefault="002370B5" w:rsidP="0000025A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D88A783" w14:textId="77777777" w:rsidR="00A06DE6" w:rsidRDefault="00A06DE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4C14544" w14:textId="7EFF2703" w:rsidR="00EF2D2E" w:rsidRDefault="00EF2D2E" w:rsidP="0000025A">
      <w:pPr>
        <w:spacing w:after="0" w:line="360" w:lineRule="auto"/>
        <w:jc w:val="center"/>
        <w:rPr>
          <w:rFonts w:ascii="Arial" w:hAnsi="Arial" w:cs="Arial"/>
          <w:b/>
        </w:rPr>
      </w:pPr>
      <w:r w:rsidRPr="00F523DC">
        <w:rPr>
          <w:rFonts w:ascii="Arial" w:hAnsi="Arial" w:cs="Arial"/>
        </w:rPr>
        <w:lastRenderedPageBreak/>
        <w:t xml:space="preserve">Cartes 1a et 1b – </w:t>
      </w:r>
      <w:r w:rsidRPr="00F523DC">
        <w:rPr>
          <w:rFonts w:ascii="Arial" w:hAnsi="Arial" w:cs="Arial"/>
          <w:b/>
        </w:rPr>
        <w:t>Évolutions</w:t>
      </w:r>
      <w:r w:rsidR="005F0FF7">
        <w:rPr>
          <w:rFonts w:ascii="Arial" w:hAnsi="Arial" w:cs="Arial"/>
          <w:b/>
        </w:rPr>
        <w:t xml:space="preserve"> régionales</w:t>
      </w:r>
      <w:r w:rsidRPr="00F523DC">
        <w:rPr>
          <w:rFonts w:ascii="Arial" w:hAnsi="Arial" w:cs="Arial"/>
          <w:b/>
        </w:rPr>
        <w:t xml:space="preserve"> </w:t>
      </w:r>
      <w:r w:rsidRPr="00F523DC">
        <w:rPr>
          <w:rFonts w:ascii="Arial" w:hAnsi="Arial" w:cs="Arial"/>
        </w:rPr>
        <w:t>(en %</w:t>
      </w:r>
      <w:r w:rsidR="0063190A">
        <w:rPr>
          <w:rFonts w:ascii="Arial" w:hAnsi="Arial" w:cs="Arial"/>
        </w:rPr>
        <w:t>, en glissement annuel</w:t>
      </w:r>
      <w:r w:rsidRPr="00F523DC">
        <w:rPr>
          <w:rFonts w:ascii="Arial" w:hAnsi="Arial" w:cs="Arial"/>
        </w:rPr>
        <w:t>)</w:t>
      </w:r>
      <w:r w:rsidR="005F0FF7">
        <w:rPr>
          <w:rFonts w:ascii="Arial" w:hAnsi="Arial" w:cs="Arial"/>
          <w:b/>
        </w:rPr>
        <w:t xml:space="preserve"> des ventes de logements neufs</w:t>
      </w:r>
    </w:p>
    <w:p w14:paraId="29EAD8C6" w14:textId="745489C5" w:rsidR="00EF2D2E" w:rsidRPr="00572BF9" w:rsidRDefault="006C0666" w:rsidP="00E44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6A3636B0" wp14:editId="592CE8E3">
            <wp:extent cx="5760720" cy="2681605"/>
            <wp:effectExtent l="0" t="0" r="0" b="44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ans titre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F6F4" w14:textId="509F2B46" w:rsidR="00EF2D2E" w:rsidRPr="00233A34" w:rsidRDefault="00EF2D2E" w:rsidP="00E444BA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233A34">
        <w:rPr>
          <w:rFonts w:ascii="Arial" w:hAnsi="Arial" w:cs="Arial"/>
          <w:i/>
          <w:sz w:val="20"/>
          <w:szCs w:val="20"/>
        </w:rPr>
        <w:t xml:space="preserve">Source : </w:t>
      </w:r>
      <w:r w:rsidR="00A52309" w:rsidRPr="00C352DB">
        <w:rPr>
          <w:rFonts w:ascii="Arial" w:hAnsi="Arial" w:cs="Arial"/>
          <w:i/>
          <w:sz w:val="20"/>
          <w:szCs w:val="20"/>
        </w:rPr>
        <w:t xml:space="preserve">CGI </w:t>
      </w:r>
      <w:r w:rsidR="00A52309">
        <w:rPr>
          <w:rFonts w:ascii="Arial" w:hAnsi="Arial" w:cs="Arial"/>
          <w:i/>
          <w:sz w:val="20"/>
          <w:szCs w:val="20"/>
        </w:rPr>
        <w:t>B</w:t>
      </w:r>
      <w:r w:rsidR="00A52309" w:rsidRPr="00C352DB">
        <w:rPr>
          <w:rFonts w:ascii="Arial" w:hAnsi="Arial" w:cs="Arial"/>
          <w:i/>
          <w:sz w:val="20"/>
          <w:szCs w:val="20"/>
        </w:rPr>
        <w:t>âtiment</w:t>
      </w:r>
      <w:r w:rsidR="00A52309">
        <w:rPr>
          <w:rFonts w:ascii="Arial" w:hAnsi="Arial" w:cs="Arial"/>
          <w:i/>
          <w:sz w:val="20"/>
          <w:szCs w:val="20"/>
        </w:rPr>
        <w:t>/</w:t>
      </w:r>
      <w:r w:rsidR="00A52309" w:rsidRPr="00C352DB">
        <w:rPr>
          <w:rFonts w:ascii="Arial" w:hAnsi="Arial" w:cs="Arial"/>
          <w:i/>
          <w:sz w:val="20"/>
          <w:szCs w:val="20"/>
        </w:rPr>
        <w:t xml:space="preserve">Caron </w:t>
      </w:r>
      <w:r w:rsidR="00A52309">
        <w:rPr>
          <w:rFonts w:ascii="Arial" w:hAnsi="Arial" w:cs="Arial"/>
          <w:i/>
          <w:sz w:val="20"/>
          <w:szCs w:val="20"/>
        </w:rPr>
        <w:t>M</w:t>
      </w:r>
      <w:r w:rsidR="00A52309" w:rsidRPr="00C352DB">
        <w:rPr>
          <w:rFonts w:ascii="Arial" w:hAnsi="Arial" w:cs="Arial"/>
          <w:i/>
          <w:sz w:val="20"/>
          <w:szCs w:val="20"/>
        </w:rPr>
        <w:t>arketing, Markemétron</w:t>
      </w:r>
      <w:r w:rsidR="00A52309">
        <w:rPr>
          <w:rFonts w:ascii="Arial" w:hAnsi="Arial" w:cs="Arial"/>
          <w:i/>
          <w:sz w:val="20"/>
          <w:szCs w:val="20"/>
        </w:rPr>
        <w:t xml:space="preserve"> ; </w:t>
      </w:r>
      <w:r w:rsidR="0000265A" w:rsidRPr="00233A34">
        <w:rPr>
          <w:rFonts w:ascii="Arial" w:hAnsi="Arial" w:cs="Arial"/>
          <w:i/>
          <w:sz w:val="20"/>
          <w:szCs w:val="20"/>
        </w:rPr>
        <w:t>MT</w:t>
      </w:r>
      <w:r w:rsidR="0000265A">
        <w:rPr>
          <w:rFonts w:ascii="Arial" w:hAnsi="Arial" w:cs="Arial"/>
          <w:i/>
          <w:sz w:val="20"/>
          <w:szCs w:val="20"/>
        </w:rPr>
        <w:t>ES/CGDD/</w:t>
      </w:r>
      <w:r w:rsidR="0000265A" w:rsidRPr="00233A34">
        <w:rPr>
          <w:rFonts w:ascii="Arial" w:hAnsi="Arial" w:cs="Arial"/>
          <w:i/>
          <w:sz w:val="20"/>
          <w:szCs w:val="20"/>
        </w:rPr>
        <w:t>SDES, ECLN</w:t>
      </w:r>
      <w:r w:rsidR="0000265A">
        <w:rPr>
          <w:rFonts w:ascii="Arial" w:hAnsi="Arial" w:cs="Arial"/>
          <w:i/>
          <w:sz w:val="20"/>
          <w:szCs w:val="20"/>
        </w:rPr>
        <w:t xml:space="preserve"> </w:t>
      </w:r>
    </w:p>
    <w:p w14:paraId="0712ADFA" w14:textId="5649AA8B" w:rsidR="00845014" w:rsidRDefault="00845014">
      <w:pPr>
        <w:rPr>
          <w:rFonts w:ascii="Arial" w:hAnsi="Arial" w:cs="Arial"/>
        </w:rPr>
      </w:pPr>
    </w:p>
    <w:p w14:paraId="50F58CE6" w14:textId="4DFA4F25" w:rsidR="00EC006F" w:rsidRPr="00EC006F" w:rsidRDefault="00EC006F" w:rsidP="005A20DE">
      <w:pPr>
        <w:spacing w:after="0" w:line="360" w:lineRule="auto"/>
        <w:jc w:val="both"/>
        <w:rPr>
          <w:rFonts w:ascii="Arial" w:hAnsi="Arial" w:cs="Arial"/>
          <w:i/>
        </w:rPr>
      </w:pPr>
      <w:r w:rsidRPr="00EC006F">
        <w:rPr>
          <w:rFonts w:ascii="Arial" w:hAnsi="Arial" w:cs="Arial"/>
          <w:i/>
        </w:rPr>
        <w:t>2.1.</w:t>
      </w:r>
      <w:r w:rsidR="00BD01BB">
        <w:rPr>
          <w:rFonts w:ascii="Arial" w:hAnsi="Arial" w:cs="Arial"/>
          <w:i/>
        </w:rPr>
        <w:t>2</w:t>
      </w:r>
      <w:r w:rsidRPr="00EC006F">
        <w:rPr>
          <w:rFonts w:ascii="Arial" w:hAnsi="Arial" w:cs="Arial"/>
          <w:i/>
        </w:rPr>
        <w:t xml:space="preserve"> </w:t>
      </w:r>
      <w:r w:rsidR="00A1532D">
        <w:rPr>
          <w:rFonts w:ascii="Arial" w:hAnsi="Arial" w:cs="Arial"/>
          <w:i/>
        </w:rPr>
        <w:t xml:space="preserve">La construction </w:t>
      </w:r>
    </w:p>
    <w:p w14:paraId="138C9D4C" w14:textId="14843514" w:rsidR="00E21242" w:rsidRDefault="00E21242" w:rsidP="005A20DE">
      <w:pPr>
        <w:spacing w:after="0" w:line="360" w:lineRule="auto"/>
        <w:jc w:val="both"/>
        <w:rPr>
          <w:rFonts w:ascii="Arial" w:hAnsi="Arial" w:cs="Arial"/>
        </w:rPr>
      </w:pPr>
    </w:p>
    <w:p w14:paraId="2DA8111A" w14:textId="72170A3F" w:rsidR="001B0F55" w:rsidRDefault="005E6E2F" w:rsidP="005A20D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construction de logements neufs continue de reculer depuis le début de l’année. Ainsi, e</w:t>
      </w:r>
      <w:r w:rsidR="00823447" w:rsidRPr="005940EC">
        <w:rPr>
          <w:rFonts w:ascii="Arial" w:hAnsi="Arial" w:cs="Arial"/>
        </w:rPr>
        <w:t xml:space="preserve">n </w:t>
      </w:r>
      <w:r w:rsidR="00823447">
        <w:rPr>
          <w:rFonts w:ascii="Arial" w:hAnsi="Arial" w:cs="Arial"/>
        </w:rPr>
        <w:t>glissement annuel sur sept mois à fin juillet 2019</w:t>
      </w:r>
      <w:r w:rsidR="00823447" w:rsidRPr="005940EC">
        <w:rPr>
          <w:rFonts w:ascii="Arial" w:hAnsi="Arial" w:cs="Arial"/>
        </w:rPr>
        <w:t xml:space="preserve">, les </w:t>
      </w:r>
      <w:r w:rsidR="00B860BC">
        <w:rPr>
          <w:rFonts w:ascii="Arial" w:hAnsi="Arial" w:cs="Arial"/>
        </w:rPr>
        <w:t xml:space="preserve">autorisations </w:t>
      </w:r>
      <w:r>
        <w:rPr>
          <w:rFonts w:ascii="Arial" w:hAnsi="Arial" w:cs="Arial"/>
        </w:rPr>
        <w:t xml:space="preserve">et mises en chantier </w:t>
      </w:r>
      <w:r w:rsidR="00B860BC">
        <w:rPr>
          <w:rFonts w:ascii="Arial" w:hAnsi="Arial" w:cs="Arial"/>
        </w:rPr>
        <w:t xml:space="preserve">abandonnent </w:t>
      </w:r>
      <w:r>
        <w:rPr>
          <w:rFonts w:ascii="Arial" w:hAnsi="Arial" w:cs="Arial"/>
        </w:rPr>
        <w:t xml:space="preserve">respectivement </w:t>
      </w:r>
      <w:r w:rsidR="00823447">
        <w:rPr>
          <w:rFonts w:ascii="Arial" w:hAnsi="Arial" w:cs="Arial"/>
        </w:rPr>
        <w:t xml:space="preserve">5,0 % </w:t>
      </w:r>
      <w:r>
        <w:rPr>
          <w:rFonts w:ascii="Arial" w:hAnsi="Arial" w:cs="Arial"/>
        </w:rPr>
        <w:t xml:space="preserve">et 4,1 % </w:t>
      </w:r>
      <w:r w:rsidR="00823447">
        <w:rPr>
          <w:rFonts w:ascii="Arial" w:hAnsi="Arial" w:cs="Arial"/>
        </w:rPr>
        <w:t xml:space="preserve">(cf. tableau </w:t>
      </w:r>
      <w:r w:rsidR="00BD01BB">
        <w:rPr>
          <w:rFonts w:ascii="Arial" w:hAnsi="Arial" w:cs="Arial"/>
        </w:rPr>
        <w:t>2</w:t>
      </w:r>
      <w:r w:rsidR="00823447">
        <w:rPr>
          <w:rFonts w:ascii="Arial" w:hAnsi="Arial" w:cs="Arial"/>
        </w:rPr>
        <w:t>)</w:t>
      </w:r>
      <w:r w:rsidR="00B860BC">
        <w:rPr>
          <w:rFonts w:ascii="Arial" w:hAnsi="Arial" w:cs="Arial"/>
        </w:rPr>
        <w:t>, sans véritable cha</w:t>
      </w:r>
      <w:r w:rsidR="00DA7A51">
        <w:rPr>
          <w:rFonts w:ascii="Arial" w:hAnsi="Arial" w:cs="Arial"/>
        </w:rPr>
        <w:t>ngement de rythme depuis un an.</w:t>
      </w:r>
    </w:p>
    <w:p w14:paraId="0729E3C6" w14:textId="327254BC" w:rsidR="00402C2A" w:rsidRDefault="00B860BC" w:rsidP="00402C2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Toutefois, sur </w:t>
      </w:r>
      <w:r w:rsidR="00557127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période</w:t>
      </w:r>
      <w:r w:rsidR="003B18CD">
        <w:rPr>
          <w:rFonts w:ascii="Arial" w:hAnsi="Arial" w:cs="Arial"/>
        </w:rPr>
        <w:t xml:space="preserve"> récente</w:t>
      </w:r>
      <w:r>
        <w:rPr>
          <w:rFonts w:ascii="Arial" w:hAnsi="Arial" w:cs="Arial"/>
        </w:rPr>
        <w:t xml:space="preserve">, </w:t>
      </w:r>
      <w:r w:rsidR="00557127">
        <w:rPr>
          <w:rFonts w:ascii="Arial" w:hAnsi="Arial" w:cs="Arial"/>
        </w:rPr>
        <w:t xml:space="preserve">en glissement annuel sur trois mois à fin juillet 2019, </w:t>
      </w:r>
      <w:r w:rsidR="003B18CD">
        <w:rPr>
          <w:rFonts w:ascii="Arial" w:hAnsi="Arial" w:cs="Arial"/>
        </w:rPr>
        <w:t>l’individuel semble retrouver quelques couleurs</w:t>
      </w:r>
      <w:r w:rsidR="001B0F55">
        <w:rPr>
          <w:rFonts w:ascii="Arial" w:hAnsi="Arial" w:cs="Arial"/>
        </w:rPr>
        <w:t>. De fait</w:t>
      </w:r>
      <w:r w:rsidR="003B18CD">
        <w:rPr>
          <w:rFonts w:ascii="Arial" w:hAnsi="Arial" w:cs="Arial"/>
        </w:rPr>
        <w:t xml:space="preserve">, </w:t>
      </w:r>
      <w:r w:rsidR="001B0F55">
        <w:rPr>
          <w:rFonts w:ascii="Arial" w:hAnsi="Arial" w:cs="Arial"/>
        </w:rPr>
        <w:t xml:space="preserve">on relève </w:t>
      </w:r>
      <w:r w:rsidR="003B18CD">
        <w:rPr>
          <w:rFonts w:ascii="Arial" w:hAnsi="Arial" w:cs="Arial"/>
        </w:rPr>
        <w:t xml:space="preserve">un tassement du rythme de baisse de ses ouvertures de chantier </w:t>
      </w:r>
      <w:r w:rsidR="00557127">
        <w:rPr>
          <w:rFonts w:ascii="Arial" w:hAnsi="Arial" w:cs="Arial"/>
        </w:rPr>
        <w:t xml:space="preserve">(-2,5 %) </w:t>
      </w:r>
      <w:r w:rsidR="003B18CD">
        <w:rPr>
          <w:rFonts w:ascii="Arial" w:hAnsi="Arial" w:cs="Arial"/>
        </w:rPr>
        <w:t xml:space="preserve">et </w:t>
      </w:r>
      <w:r w:rsidR="00557127">
        <w:rPr>
          <w:rFonts w:ascii="Arial" w:hAnsi="Arial" w:cs="Arial"/>
        </w:rPr>
        <w:t>surtout</w:t>
      </w:r>
      <w:r w:rsidR="003B18CD">
        <w:rPr>
          <w:rFonts w:ascii="Arial" w:hAnsi="Arial" w:cs="Arial"/>
        </w:rPr>
        <w:t xml:space="preserve"> </w:t>
      </w:r>
      <w:r w:rsidR="00557127">
        <w:rPr>
          <w:rFonts w:ascii="Arial" w:hAnsi="Arial" w:cs="Arial"/>
        </w:rPr>
        <w:t xml:space="preserve">une </w:t>
      </w:r>
      <w:r w:rsidR="003B18CD">
        <w:rPr>
          <w:rFonts w:ascii="Arial" w:hAnsi="Arial" w:cs="Arial"/>
        </w:rPr>
        <w:t xml:space="preserve">petite hausse de ses permis </w:t>
      </w:r>
      <w:r w:rsidR="00557127">
        <w:rPr>
          <w:rFonts w:ascii="Arial" w:hAnsi="Arial" w:cs="Arial"/>
        </w:rPr>
        <w:t xml:space="preserve">(+1,3 %), </w:t>
      </w:r>
      <w:r w:rsidR="00EC2BA9">
        <w:rPr>
          <w:rFonts w:ascii="Arial" w:hAnsi="Arial" w:cs="Arial"/>
        </w:rPr>
        <w:t>cohérente</w:t>
      </w:r>
      <w:r w:rsidR="00EC2BA9" w:rsidRPr="00B860BC">
        <w:rPr>
          <w:rFonts w:ascii="Arial" w:hAnsi="Arial" w:cs="Arial"/>
        </w:rPr>
        <w:t xml:space="preserve"> </w:t>
      </w:r>
      <w:r w:rsidRPr="00B860BC">
        <w:rPr>
          <w:rFonts w:ascii="Arial" w:hAnsi="Arial" w:cs="Arial"/>
        </w:rPr>
        <w:t xml:space="preserve">avec la </w:t>
      </w:r>
      <w:r w:rsidR="00557127">
        <w:rPr>
          <w:rFonts w:ascii="Arial" w:hAnsi="Arial" w:cs="Arial"/>
        </w:rPr>
        <w:t xml:space="preserve">progression </w:t>
      </w:r>
      <w:r w:rsidRPr="00B860BC">
        <w:rPr>
          <w:rFonts w:ascii="Arial" w:hAnsi="Arial" w:cs="Arial"/>
        </w:rPr>
        <w:t xml:space="preserve">des ventes en </w:t>
      </w:r>
      <w:r w:rsidR="00EB0EC9">
        <w:rPr>
          <w:rFonts w:ascii="Arial" w:hAnsi="Arial" w:cs="Arial"/>
        </w:rPr>
        <w:t xml:space="preserve">individuel </w:t>
      </w:r>
      <w:r w:rsidRPr="00B860BC">
        <w:rPr>
          <w:rFonts w:ascii="Arial" w:hAnsi="Arial" w:cs="Arial"/>
        </w:rPr>
        <w:t>diffus</w:t>
      </w:r>
      <w:r w:rsidR="00CD121B">
        <w:rPr>
          <w:rFonts w:ascii="Arial" w:hAnsi="Arial" w:cs="Arial"/>
        </w:rPr>
        <w:t xml:space="preserve"> depuis le début de l’année,</w:t>
      </w:r>
      <w:r w:rsidR="00557127">
        <w:rPr>
          <w:rFonts w:ascii="Arial" w:hAnsi="Arial" w:cs="Arial"/>
        </w:rPr>
        <w:t xml:space="preserve"> comme mentionné précédemment</w:t>
      </w:r>
      <w:r w:rsidRPr="00B860B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EC2BA9">
        <w:rPr>
          <w:rFonts w:ascii="Arial" w:hAnsi="Arial" w:cs="Arial"/>
        </w:rPr>
        <w:t xml:space="preserve">Cela augure donc </w:t>
      </w:r>
      <w:r w:rsidR="00CD121B">
        <w:rPr>
          <w:rFonts w:ascii="Arial" w:hAnsi="Arial" w:cs="Arial"/>
        </w:rPr>
        <w:t xml:space="preserve">d’un deuxième semestre </w:t>
      </w:r>
      <w:r w:rsidR="00823447">
        <w:rPr>
          <w:rFonts w:ascii="Arial" w:hAnsi="Arial" w:cs="Arial"/>
        </w:rPr>
        <w:t xml:space="preserve">mieux orienté sur ce </w:t>
      </w:r>
      <w:r w:rsidR="001B0F55" w:rsidRPr="00781472">
        <w:rPr>
          <w:rFonts w:ascii="Arial" w:hAnsi="Arial" w:cs="Arial"/>
        </w:rPr>
        <w:t>segment</w:t>
      </w:r>
      <w:r w:rsidR="00402C2A" w:rsidRPr="00781472">
        <w:rPr>
          <w:rFonts w:ascii="Arial" w:hAnsi="Arial" w:cs="Arial"/>
        </w:rPr>
        <w:t xml:space="preserve">, </w:t>
      </w:r>
      <w:r w:rsidR="00971177" w:rsidRPr="00781472">
        <w:rPr>
          <w:rFonts w:ascii="Arial" w:hAnsi="Arial" w:cs="Arial"/>
        </w:rPr>
        <w:t xml:space="preserve">d’autant plus </w:t>
      </w:r>
      <w:r w:rsidR="00781472" w:rsidRPr="00781472">
        <w:rPr>
          <w:rFonts w:ascii="Arial" w:hAnsi="Arial" w:cs="Arial"/>
        </w:rPr>
        <w:t xml:space="preserve">qu’il bénéficierait </w:t>
      </w:r>
      <w:r w:rsidR="00402C2A" w:rsidRPr="00781472">
        <w:rPr>
          <w:rFonts w:ascii="Arial" w:hAnsi="Arial" w:cs="Arial"/>
        </w:rPr>
        <w:t>des probables anticipations</w:t>
      </w:r>
      <w:r w:rsidR="009D6A25">
        <w:rPr>
          <w:rFonts w:ascii="Arial" w:hAnsi="Arial" w:cs="Arial"/>
        </w:rPr>
        <w:t>,</w:t>
      </w:r>
      <w:r w:rsidR="00402C2A" w:rsidRPr="00781472">
        <w:rPr>
          <w:rFonts w:ascii="Arial" w:hAnsi="Arial" w:cs="Arial"/>
        </w:rPr>
        <w:t xml:space="preserve"> </w:t>
      </w:r>
      <w:r w:rsidR="00781472" w:rsidRPr="00781472">
        <w:rPr>
          <w:rFonts w:ascii="Arial" w:hAnsi="Arial" w:cs="Arial"/>
        </w:rPr>
        <w:t>par les établissements de crédit et l</w:t>
      </w:r>
      <w:r w:rsidR="00402C2A" w:rsidRPr="00781472">
        <w:rPr>
          <w:rFonts w:ascii="Arial" w:hAnsi="Arial" w:cs="Arial"/>
        </w:rPr>
        <w:t>es ménages</w:t>
      </w:r>
      <w:r w:rsidR="009D6A25">
        <w:rPr>
          <w:rFonts w:ascii="Arial" w:hAnsi="Arial" w:cs="Arial"/>
        </w:rPr>
        <w:t>,</w:t>
      </w:r>
      <w:r w:rsidR="00402C2A" w:rsidRPr="00781472">
        <w:rPr>
          <w:rFonts w:ascii="Arial" w:hAnsi="Arial" w:cs="Arial"/>
        </w:rPr>
        <w:t xml:space="preserve"> </w:t>
      </w:r>
      <w:r w:rsidR="00781472" w:rsidRPr="00781472">
        <w:rPr>
          <w:rFonts w:ascii="Arial" w:hAnsi="Arial" w:cs="Arial"/>
        </w:rPr>
        <w:t>de</w:t>
      </w:r>
      <w:r w:rsidR="00402C2A" w:rsidRPr="00781472">
        <w:rPr>
          <w:rFonts w:ascii="Arial" w:hAnsi="Arial" w:cs="Arial"/>
        </w:rPr>
        <w:t xml:space="preserve"> la suppression prévue du PTZ dans le neuf en zones B2 et C, terres traditionnelles de maisons individuelles.</w:t>
      </w:r>
    </w:p>
    <w:p w14:paraId="4BB17FBB" w14:textId="58811434" w:rsidR="00823447" w:rsidRDefault="00823447" w:rsidP="005A20DE">
      <w:pPr>
        <w:spacing w:after="0" w:line="360" w:lineRule="auto"/>
        <w:jc w:val="both"/>
        <w:rPr>
          <w:rFonts w:ascii="Arial" w:hAnsi="Arial" w:cs="Arial"/>
        </w:rPr>
      </w:pPr>
    </w:p>
    <w:p w14:paraId="620537B6" w14:textId="77777777" w:rsidR="00823447" w:rsidRDefault="00823447" w:rsidP="005A20DE">
      <w:pPr>
        <w:spacing w:after="0" w:line="360" w:lineRule="auto"/>
        <w:jc w:val="both"/>
        <w:rPr>
          <w:rFonts w:ascii="Arial" w:hAnsi="Arial" w:cs="Arial"/>
        </w:rPr>
      </w:pPr>
    </w:p>
    <w:p w14:paraId="45202343" w14:textId="77777777" w:rsidR="0000025A" w:rsidRDefault="0000025A" w:rsidP="005A20D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826EC2" w14:textId="1E95F531" w:rsidR="00EF2D2E" w:rsidRDefault="00EF2D2E" w:rsidP="00C746F0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Tableau 2 </w:t>
      </w:r>
      <w:r w:rsidRPr="009B1AD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20BC">
        <w:rPr>
          <w:rFonts w:ascii="Arial" w:hAnsi="Arial" w:cs="Arial"/>
          <w:b/>
        </w:rPr>
        <w:t xml:space="preserve">Évolutions </w:t>
      </w:r>
      <w:r w:rsidRPr="00361390">
        <w:rPr>
          <w:rFonts w:ascii="Arial" w:hAnsi="Arial" w:cs="Arial"/>
        </w:rPr>
        <w:t>(en %, en glissement annuel)</w:t>
      </w:r>
      <w:r>
        <w:rPr>
          <w:rFonts w:ascii="Arial" w:hAnsi="Arial" w:cs="Arial"/>
          <w:b/>
        </w:rPr>
        <w:t xml:space="preserve"> du logement neuf</w:t>
      </w:r>
      <w:r>
        <w:rPr>
          <w:rStyle w:val="Appelnotedebasdep"/>
          <w:rFonts w:ascii="Arial" w:hAnsi="Arial" w:cs="Arial"/>
          <w:b/>
        </w:rPr>
        <w:footnoteReference w:id="2"/>
      </w:r>
    </w:p>
    <w:tbl>
      <w:tblPr>
        <w:tblStyle w:val="Grilledutableau"/>
        <w:tblW w:w="90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258"/>
        <w:gridCol w:w="2260"/>
        <w:gridCol w:w="2263"/>
        <w:gridCol w:w="2261"/>
      </w:tblGrid>
      <w:tr w:rsidR="00823447" w:rsidRPr="004E3507" w14:paraId="7C54DC71" w14:textId="77777777" w:rsidTr="006B33CC">
        <w:tc>
          <w:tcPr>
            <w:tcW w:w="2258" w:type="dxa"/>
            <w:tcBorders>
              <w:top w:val="single" w:sz="12" w:space="0" w:color="000000"/>
            </w:tcBorders>
          </w:tcPr>
          <w:p w14:paraId="245D1F33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0" w:type="dxa"/>
            <w:tcBorders>
              <w:top w:val="single" w:sz="12" w:space="0" w:color="000000"/>
            </w:tcBorders>
          </w:tcPr>
          <w:p w14:paraId="23829BAE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  <w:r w:rsidRPr="004E3507">
              <w:rPr>
                <w:rFonts w:ascii="Arial" w:hAnsi="Arial" w:cs="Arial"/>
              </w:rPr>
              <w:t>Individuel</w:t>
            </w:r>
          </w:p>
        </w:tc>
        <w:tc>
          <w:tcPr>
            <w:tcW w:w="2263" w:type="dxa"/>
            <w:tcBorders>
              <w:top w:val="single" w:sz="12" w:space="0" w:color="000000"/>
            </w:tcBorders>
          </w:tcPr>
          <w:p w14:paraId="649B25DF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  <w:r w:rsidRPr="004E3507">
              <w:rPr>
                <w:rFonts w:ascii="Arial" w:hAnsi="Arial" w:cs="Arial"/>
              </w:rPr>
              <w:t>Collectif</w:t>
            </w:r>
          </w:p>
        </w:tc>
        <w:tc>
          <w:tcPr>
            <w:tcW w:w="2261" w:type="dxa"/>
            <w:tcBorders>
              <w:top w:val="single" w:sz="12" w:space="0" w:color="000000"/>
            </w:tcBorders>
          </w:tcPr>
          <w:p w14:paraId="2F08B6AD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  <w:r w:rsidRPr="004E3507">
              <w:rPr>
                <w:rFonts w:ascii="Arial" w:hAnsi="Arial" w:cs="Arial"/>
              </w:rPr>
              <w:t>Ensemble</w:t>
            </w:r>
          </w:p>
        </w:tc>
      </w:tr>
      <w:tr w:rsidR="00823447" w:rsidRPr="004E3507" w14:paraId="4E608B16" w14:textId="77777777" w:rsidTr="006B33CC">
        <w:tc>
          <w:tcPr>
            <w:tcW w:w="9042" w:type="dxa"/>
            <w:gridSpan w:val="4"/>
          </w:tcPr>
          <w:p w14:paraId="5E99D3D5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</w:p>
        </w:tc>
      </w:tr>
      <w:tr w:rsidR="00823447" w:rsidRPr="00F128A2" w14:paraId="5E8947CB" w14:textId="77777777" w:rsidTr="006B33CC">
        <w:tc>
          <w:tcPr>
            <w:tcW w:w="9042" w:type="dxa"/>
            <w:gridSpan w:val="4"/>
            <w:tcBorders>
              <w:bottom w:val="single" w:sz="2" w:space="0" w:color="000000"/>
            </w:tcBorders>
          </w:tcPr>
          <w:p w14:paraId="68C4BCBB" w14:textId="77777777" w:rsidR="00823447" w:rsidRPr="00C82B89" w:rsidRDefault="00823447" w:rsidP="006B33CC">
            <w:pPr>
              <w:jc w:val="center"/>
              <w:rPr>
                <w:rFonts w:ascii="Arial" w:hAnsi="Arial" w:cs="Arial"/>
                <w:i/>
              </w:rPr>
            </w:pPr>
            <w:r w:rsidRPr="00C82B89">
              <w:rPr>
                <w:rFonts w:ascii="Arial" w:hAnsi="Arial" w:cs="Arial"/>
                <w:i/>
              </w:rPr>
              <w:t xml:space="preserve">Sur </w:t>
            </w:r>
            <w:r>
              <w:rPr>
                <w:rFonts w:ascii="Arial" w:hAnsi="Arial" w:cs="Arial"/>
                <w:i/>
              </w:rPr>
              <w:t xml:space="preserve">trois </w:t>
            </w:r>
            <w:r w:rsidRPr="00C82B89">
              <w:rPr>
                <w:rFonts w:ascii="Arial" w:hAnsi="Arial" w:cs="Arial"/>
                <w:i/>
              </w:rPr>
              <w:t>mois (</w:t>
            </w:r>
            <w:r>
              <w:rPr>
                <w:rFonts w:ascii="Arial" w:hAnsi="Arial" w:cs="Arial"/>
                <w:i/>
              </w:rPr>
              <w:t>mai</w:t>
            </w:r>
            <w:r w:rsidRPr="00C82B89">
              <w:rPr>
                <w:rFonts w:ascii="Arial" w:hAnsi="Arial" w:cs="Arial"/>
                <w:i/>
              </w:rPr>
              <w:t xml:space="preserve"> 2019 → </w:t>
            </w:r>
            <w:r>
              <w:rPr>
                <w:rFonts w:ascii="Arial" w:hAnsi="Arial" w:cs="Arial"/>
                <w:i/>
              </w:rPr>
              <w:t xml:space="preserve">juil. </w:t>
            </w:r>
            <w:r w:rsidRPr="00C82B89">
              <w:rPr>
                <w:rFonts w:ascii="Arial" w:hAnsi="Arial" w:cs="Arial"/>
                <w:i/>
              </w:rPr>
              <w:t xml:space="preserve">2019 / </w:t>
            </w:r>
            <w:r>
              <w:rPr>
                <w:rFonts w:ascii="Arial" w:hAnsi="Arial" w:cs="Arial"/>
                <w:i/>
              </w:rPr>
              <w:t>mai</w:t>
            </w:r>
            <w:r w:rsidRPr="00C82B89">
              <w:rPr>
                <w:rFonts w:ascii="Arial" w:hAnsi="Arial" w:cs="Arial"/>
                <w:i/>
              </w:rPr>
              <w:t xml:space="preserve"> 2018 → </w:t>
            </w:r>
            <w:r>
              <w:rPr>
                <w:rFonts w:ascii="Arial" w:hAnsi="Arial" w:cs="Arial"/>
                <w:i/>
              </w:rPr>
              <w:t>juil.</w:t>
            </w:r>
            <w:r w:rsidRPr="00C82B89">
              <w:rPr>
                <w:rFonts w:ascii="Arial" w:hAnsi="Arial" w:cs="Arial"/>
                <w:i/>
              </w:rPr>
              <w:t xml:space="preserve"> 2018)</w:t>
            </w:r>
          </w:p>
        </w:tc>
      </w:tr>
      <w:tr w:rsidR="00823447" w:rsidRPr="00F128A2" w14:paraId="6A7E620F" w14:textId="77777777" w:rsidTr="006B33CC">
        <w:tc>
          <w:tcPr>
            <w:tcW w:w="2258" w:type="dxa"/>
            <w:tcBorders>
              <w:top w:val="single" w:sz="2" w:space="0" w:color="000000"/>
              <w:bottom w:val="dashSmallGap" w:sz="4" w:space="0" w:color="000000"/>
            </w:tcBorders>
          </w:tcPr>
          <w:p w14:paraId="53942C3C" w14:textId="77777777" w:rsidR="00823447" w:rsidRPr="00C82B89" w:rsidRDefault="00823447" w:rsidP="006B33CC">
            <w:pPr>
              <w:jc w:val="center"/>
              <w:rPr>
                <w:rFonts w:ascii="Arial" w:hAnsi="Arial" w:cs="Arial"/>
              </w:rPr>
            </w:pPr>
            <w:r w:rsidRPr="00C82B89">
              <w:rPr>
                <w:rFonts w:ascii="Arial" w:hAnsi="Arial" w:cs="Arial"/>
              </w:rPr>
              <w:t>Autorisations</w:t>
            </w:r>
          </w:p>
        </w:tc>
        <w:tc>
          <w:tcPr>
            <w:tcW w:w="2260" w:type="dxa"/>
            <w:tcBorders>
              <w:top w:val="single" w:sz="2" w:space="0" w:color="000000"/>
              <w:bottom w:val="dashSmallGap" w:sz="4" w:space="0" w:color="000000"/>
            </w:tcBorders>
          </w:tcPr>
          <w:p w14:paraId="7671CC71" w14:textId="77777777" w:rsidR="00823447" w:rsidRPr="00C82B89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+1,3 %</w:t>
            </w:r>
          </w:p>
        </w:tc>
        <w:tc>
          <w:tcPr>
            <w:tcW w:w="2263" w:type="dxa"/>
            <w:tcBorders>
              <w:top w:val="single" w:sz="2" w:space="0" w:color="000000"/>
              <w:bottom w:val="dashSmallGap" w:sz="4" w:space="0" w:color="000000"/>
            </w:tcBorders>
          </w:tcPr>
          <w:p w14:paraId="06BCF24E" w14:textId="77777777" w:rsidR="00823447" w:rsidRPr="00C82B89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-8,1 %</w:t>
            </w:r>
          </w:p>
        </w:tc>
        <w:tc>
          <w:tcPr>
            <w:tcW w:w="2261" w:type="dxa"/>
            <w:tcBorders>
              <w:top w:val="single" w:sz="2" w:space="0" w:color="000000"/>
              <w:bottom w:val="dashSmallGap" w:sz="4" w:space="0" w:color="000000"/>
            </w:tcBorders>
          </w:tcPr>
          <w:p w14:paraId="19A85981" w14:textId="77777777" w:rsidR="00823447" w:rsidRPr="00C82B89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-4,2 %</w:t>
            </w:r>
          </w:p>
        </w:tc>
      </w:tr>
      <w:tr w:rsidR="00823447" w:rsidRPr="00F128A2" w14:paraId="1A30B9CE" w14:textId="77777777" w:rsidTr="006B33CC">
        <w:tc>
          <w:tcPr>
            <w:tcW w:w="2258" w:type="dxa"/>
            <w:tcBorders>
              <w:top w:val="dashSmallGap" w:sz="4" w:space="0" w:color="000000"/>
              <w:bottom w:val="single" w:sz="2" w:space="0" w:color="000000"/>
            </w:tcBorders>
          </w:tcPr>
          <w:p w14:paraId="0D84BC22" w14:textId="77777777" w:rsidR="00823447" w:rsidRPr="00C82B89" w:rsidRDefault="00823447" w:rsidP="006B33CC">
            <w:pPr>
              <w:jc w:val="center"/>
              <w:rPr>
                <w:rFonts w:ascii="Arial" w:hAnsi="Arial" w:cs="Arial"/>
              </w:rPr>
            </w:pPr>
            <w:r w:rsidRPr="00C82B89">
              <w:rPr>
                <w:rFonts w:ascii="Arial" w:hAnsi="Arial" w:cs="Arial"/>
              </w:rPr>
              <w:t>Mises en chantier</w:t>
            </w:r>
          </w:p>
        </w:tc>
        <w:tc>
          <w:tcPr>
            <w:tcW w:w="2260" w:type="dxa"/>
            <w:tcBorders>
              <w:top w:val="dashSmallGap" w:sz="4" w:space="0" w:color="000000"/>
              <w:bottom w:val="single" w:sz="2" w:space="0" w:color="000000"/>
            </w:tcBorders>
          </w:tcPr>
          <w:p w14:paraId="3832204C" w14:textId="77777777" w:rsidR="00823447" w:rsidRPr="00C82B89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-2,5 %</w:t>
            </w:r>
          </w:p>
        </w:tc>
        <w:tc>
          <w:tcPr>
            <w:tcW w:w="2263" w:type="dxa"/>
            <w:tcBorders>
              <w:top w:val="dashSmallGap" w:sz="4" w:space="0" w:color="000000"/>
              <w:bottom w:val="single" w:sz="2" w:space="0" w:color="000000"/>
            </w:tcBorders>
          </w:tcPr>
          <w:p w14:paraId="760DC312" w14:textId="77777777" w:rsidR="00823447" w:rsidRPr="00C82B89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-8,7 %</w:t>
            </w:r>
          </w:p>
        </w:tc>
        <w:tc>
          <w:tcPr>
            <w:tcW w:w="2261" w:type="dxa"/>
            <w:tcBorders>
              <w:top w:val="dashSmallGap" w:sz="4" w:space="0" w:color="000000"/>
              <w:bottom w:val="single" w:sz="2" w:space="0" w:color="000000"/>
            </w:tcBorders>
          </w:tcPr>
          <w:p w14:paraId="090183FA" w14:textId="77777777" w:rsidR="00823447" w:rsidRPr="00C82B89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-6,1 %</w:t>
            </w:r>
          </w:p>
        </w:tc>
      </w:tr>
      <w:tr w:rsidR="00823447" w:rsidRPr="00F128A2" w14:paraId="0504107C" w14:textId="77777777" w:rsidTr="006B33CC">
        <w:tc>
          <w:tcPr>
            <w:tcW w:w="9042" w:type="dxa"/>
            <w:gridSpan w:val="4"/>
          </w:tcPr>
          <w:p w14:paraId="5A54DF36" w14:textId="77777777" w:rsidR="00823447" w:rsidRPr="00F128A2" w:rsidRDefault="00823447" w:rsidP="006B33CC">
            <w:pPr>
              <w:jc w:val="center"/>
              <w:rPr>
                <w:rFonts w:ascii="Arial" w:hAnsi="Arial" w:cs="Arial"/>
              </w:rPr>
            </w:pPr>
          </w:p>
        </w:tc>
      </w:tr>
      <w:tr w:rsidR="00823447" w:rsidRPr="004E3507" w14:paraId="789390D8" w14:textId="77777777" w:rsidTr="006B33CC">
        <w:tc>
          <w:tcPr>
            <w:tcW w:w="9042" w:type="dxa"/>
            <w:gridSpan w:val="4"/>
            <w:tcBorders>
              <w:bottom w:val="single" w:sz="2" w:space="0" w:color="000000"/>
            </w:tcBorders>
          </w:tcPr>
          <w:p w14:paraId="07F90DD0" w14:textId="5134A505" w:rsidR="00823447" w:rsidRPr="004E3507" w:rsidRDefault="00823447" w:rsidP="002B4937">
            <w:pPr>
              <w:jc w:val="center"/>
              <w:rPr>
                <w:rFonts w:ascii="Arial" w:hAnsi="Arial" w:cs="Arial"/>
                <w:i/>
              </w:rPr>
            </w:pPr>
            <w:r w:rsidRPr="004E3507">
              <w:rPr>
                <w:rFonts w:ascii="Arial" w:hAnsi="Arial" w:cs="Arial"/>
                <w:i/>
              </w:rPr>
              <w:t>Sur six mois (</w:t>
            </w:r>
            <w:r>
              <w:rPr>
                <w:rFonts w:ascii="Arial" w:hAnsi="Arial" w:cs="Arial"/>
                <w:i/>
              </w:rPr>
              <w:t>fév.</w:t>
            </w:r>
            <w:r w:rsidRPr="004E3507">
              <w:rPr>
                <w:rFonts w:ascii="Arial" w:hAnsi="Arial" w:cs="Arial"/>
                <w:i/>
              </w:rPr>
              <w:t xml:space="preserve"> 201</w:t>
            </w:r>
            <w:r w:rsidR="002B4937">
              <w:rPr>
                <w:rFonts w:ascii="Arial" w:hAnsi="Arial" w:cs="Arial"/>
                <w:i/>
              </w:rPr>
              <w:t>9</w:t>
            </w:r>
            <w:r w:rsidRPr="004E3507">
              <w:rPr>
                <w:rFonts w:ascii="Arial" w:hAnsi="Arial" w:cs="Arial"/>
                <w:i/>
              </w:rPr>
              <w:t xml:space="preserve"> → </w:t>
            </w:r>
            <w:r>
              <w:rPr>
                <w:rFonts w:ascii="Arial" w:hAnsi="Arial" w:cs="Arial"/>
                <w:i/>
              </w:rPr>
              <w:t>juil. 2</w:t>
            </w:r>
            <w:r w:rsidRPr="004E3507">
              <w:rPr>
                <w:rFonts w:ascii="Arial" w:hAnsi="Arial" w:cs="Arial"/>
                <w:i/>
              </w:rPr>
              <w:t>01</w:t>
            </w:r>
            <w:r>
              <w:rPr>
                <w:rFonts w:ascii="Arial" w:hAnsi="Arial" w:cs="Arial"/>
                <w:i/>
              </w:rPr>
              <w:t>9</w:t>
            </w:r>
            <w:r w:rsidRPr="004E3507">
              <w:rPr>
                <w:rFonts w:ascii="Arial" w:hAnsi="Arial" w:cs="Arial"/>
                <w:i/>
              </w:rPr>
              <w:t xml:space="preserve"> / </w:t>
            </w:r>
            <w:r>
              <w:rPr>
                <w:rFonts w:ascii="Arial" w:hAnsi="Arial" w:cs="Arial"/>
                <w:i/>
              </w:rPr>
              <w:t xml:space="preserve">fév. </w:t>
            </w:r>
            <w:r w:rsidRPr="004E3507">
              <w:rPr>
                <w:rFonts w:ascii="Arial" w:hAnsi="Arial" w:cs="Arial"/>
                <w:i/>
              </w:rPr>
              <w:t>201</w:t>
            </w:r>
            <w:r>
              <w:rPr>
                <w:rFonts w:ascii="Arial" w:hAnsi="Arial" w:cs="Arial"/>
                <w:i/>
              </w:rPr>
              <w:t>8</w:t>
            </w:r>
            <w:r w:rsidRPr="004E3507">
              <w:rPr>
                <w:rFonts w:ascii="Arial" w:hAnsi="Arial" w:cs="Arial"/>
                <w:i/>
              </w:rPr>
              <w:t xml:space="preserve"> → </w:t>
            </w:r>
            <w:r>
              <w:rPr>
                <w:rFonts w:ascii="Arial" w:hAnsi="Arial" w:cs="Arial"/>
                <w:i/>
              </w:rPr>
              <w:t xml:space="preserve">juil. </w:t>
            </w:r>
            <w:r w:rsidRPr="004E3507">
              <w:rPr>
                <w:rFonts w:ascii="Arial" w:hAnsi="Arial" w:cs="Arial"/>
                <w:i/>
              </w:rPr>
              <w:t>201</w:t>
            </w:r>
            <w:r>
              <w:rPr>
                <w:rFonts w:ascii="Arial" w:hAnsi="Arial" w:cs="Arial"/>
                <w:i/>
              </w:rPr>
              <w:t>8</w:t>
            </w:r>
            <w:r w:rsidRPr="004E3507">
              <w:rPr>
                <w:rFonts w:ascii="Arial" w:hAnsi="Arial" w:cs="Arial"/>
                <w:i/>
              </w:rPr>
              <w:t>)</w:t>
            </w:r>
          </w:p>
        </w:tc>
      </w:tr>
      <w:tr w:rsidR="00823447" w:rsidRPr="004E3507" w14:paraId="22B297A7" w14:textId="77777777" w:rsidTr="006B33CC">
        <w:tc>
          <w:tcPr>
            <w:tcW w:w="2258" w:type="dxa"/>
            <w:tcBorders>
              <w:top w:val="single" w:sz="2" w:space="0" w:color="000000"/>
              <w:bottom w:val="dashSmallGap" w:sz="4" w:space="0" w:color="000000"/>
            </w:tcBorders>
          </w:tcPr>
          <w:p w14:paraId="502895B8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  <w:r w:rsidRPr="004E3507">
              <w:rPr>
                <w:rFonts w:ascii="Arial" w:hAnsi="Arial" w:cs="Arial"/>
              </w:rPr>
              <w:t>Autorisations</w:t>
            </w:r>
          </w:p>
        </w:tc>
        <w:tc>
          <w:tcPr>
            <w:tcW w:w="2260" w:type="dxa"/>
            <w:tcBorders>
              <w:top w:val="single" w:sz="2" w:space="0" w:color="000000"/>
              <w:bottom w:val="dashSmallGap" w:sz="4" w:space="0" w:color="000000"/>
            </w:tcBorders>
          </w:tcPr>
          <w:p w14:paraId="4004995F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+0,0 %</w:t>
            </w:r>
          </w:p>
        </w:tc>
        <w:tc>
          <w:tcPr>
            <w:tcW w:w="2263" w:type="dxa"/>
            <w:tcBorders>
              <w:top w:val="single" w:sz="2" w:space="0" w:color="000000"/>
              <w:bottom w:val="dashSmallGap" w:sz="4" w:space="0" w:color="000000"/>
            </w:tcBorders>
          </w:tcPr>
          <w:p w14:paraId="0B7CB013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-8,9 %</w:t>
            </w:r>
          </w:p>
        </w:tc>
        <w:tc>
          <w:tcPr>
            <w:tcW w:w="2261" w:type="dxa"/>
            <w:tcBorders>
              <w:top w:val="single" w:sz="2" w:space="0" w:color="000000"/>
              <w:bottom w:val="dashSmallGap" w:sz="4" w:space="0" w:color="000000"/>
            </w:tcBorders>
          </w:tcPr>
          <w:p w14:paraId="497B8538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-5,1 %</w:t>
            </w:r>
          </w:p>
        </w:tc>
      </w:tr>
      <w:tr w:rsidR="00823447" w:rsidRPr="004E3507" w14:paraId="53E68FF1" w14:textId="77777777" w:rsidTr="006B33CC">
        <w:tc>
          <w:tcPr>
            <w:tcW w:w="2258" w:type="dxa"/>
            <w:tcBorders>
              <w:top w:val="dashSmallGap" w:sz="4" w:space="0" w:color="000000"/>
            </w:tcBorders>
          </w:tcPr>
          <w:p w14:paraId="3870A122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  <w:r w:rsidRPr="004E3507">
              <w:rPr>
                <w:rFonts w:ascii="Arial" w:hAnsi="Arial" w:cs="Arial"/>
              </w:rPr>
              <w:t>Mises en chantier</w:t>
            </w:r>
          </w:p>
        </w:tc>
        <w:tc>
          <w:tcPr>
            <w:tcW w:w="2260" w:type="dxa"/>
            <w:tcBorders>
              <w:top w:val="dashSmallGap" w:sz="4" w:space="0" w:color="000000"/>
            </w:tcBorders>
          </w:tcPr>
          <w:p w14:paraId="53E2696C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-3,6 %</w:t>
            </w:r>
          </w:p>
        </w:tc>
        <w:tc>
          <w:tcPr>
            <w:tcW w:w="2263" w:type="dxa"/>
            <w:tcBorders>
              <w:top w:val="dashSmallGap" w:sz="4" w:space="0" w:color="000000"/>
            </w:tcBorders>
          </w:tcPr>
          <w:p w14:paraId="2FF3266F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-5,4 %</w:t>
            </w:r>
          </w:p>
        </w:tc>
        <w:tc>
          <w:tcPr>
            <w:tcW w:w="2261" w:type="dxa"/>
            <w:tcBorders>
              <w:top w:val="dashSmallGap" w:sz="4" w:space="0" w:color="000000"/>
            </w:tcBorders>
          </w:tcPr>
          <w:p w14:paraId="1E162DC5" w14:textId="77777777" w:rsidR="00823447" w:rsidRPr="004E3507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-4,6 %</w:t>
            </w:r>
          </w:p>
        </w:tc>
      </w:tr>
      <w:tr w:rsidR="00823447" w:rsidRPr="00F128A2" w14:paraId="0D30C193" w14:textId="77777777" w:rsidTr="006B33CC">
        <w:tc>
          <w:tcPr>
            <w:tcW w:w="9042" w:type="dxa"/>
            <w:gridSpan w:val="4"/>
          </w:tcPr>
          <w:p w14:paraId="4F2D054A" w14:textId="77777777" w:rsidR="00823447" w:rsidRPr="00F128A2" w:rsidRDefault="00823447" w:rsidP="006B33CC">
            <w:pPr>
              <w:jc w:val="center"/>
              <w:rPr>
                <w:rFonts w:ascii="Arial" w:hAnsi="Arial" w:cs="Arial"/>
              </w:rPr>
            </w:pPr>
          </w:p>
        </w:tc>
      </w:tr>
      <w:tr w:rsidR="00823447" w:rsidRPr="00F128A2" w14:paraId="799C6858" w14:textId="77777777" w:rsidTr="006B33CC">
        <w:tc>
          <w:tcPr>
            <w:tcW w:w="9042" w:type="dxa"/>
            <w:gridSpan w:val="4"/>
            <w:tcBorders>
              <w:bottom w:val="single" w:sz="2" w:space="0" w:color="000000"/>
            </w:tcBorders>
          </w:tcPr>
          <w:p w14:paraId="227EE824" w14:textId="77777777" w:rsidR="00823447" w:rsidRPr="00391133" w:rsidRDefault="00823447" w:rsidP="006B33CC">
            <w:pPr>
              <w:jc w:val="center"/>
              <w:rPr>
                <w:rFonts w:ascii="Arial" w:hAnsi="Arial" w:cs="Arial"/>
                <w:b/>
                <w:i/>
              </w:rPr>
            </w:pPr>
            <w:r w:rsidRPr="00391133">
              <w:rPr>
                <w:rFonts w:ascii="Arial" w:hAnsi="Arial" w:cs="Arial"/>
                <w:b/>
                <w:i/>
              </w:rPr>
              <w:t xml:space="preserve">Sur </w:t>
            </w:r>
            <w:r>
              <w:rPr>
                <w:rFonts w:ascii="Arial" w:hAnsi="Arial" w:cs="Arial"/>
                <w:b/>
                <w:i/>
              </w:rPr>
              <w:t>sept</w:t>
            </w:r>
            <w:r w:rsidRPr="00391133">
              <w:rPr>
                <w:rFonts w:ascii="Arial" w:hAnsi="Arial" w:cs="Arial"/>
                <w:b/>
                <w:i/>
              </w:rPr>
              <w:t xml:space="preserve"> mois (</w:t>
            </w:r>
            <w:r>
              <w:rPr>
                <w:rFonts w:ascii="Arial" w:hAnsi="Arial" w:cs="Arial"/>
                <w:b/>
                <w:i/>
              </w:rPr>
              <w:t>jan</w:t>
            </w:r>
            <w:r w:rsidRPr="00391133">
              <w:rPr>
                <w:rFonts w:ascii="Arial" w:hAnsi="Arial" w:cs="Arial"/>
                <w:b/>
                <w:i/>
              </w:rPr>
              <w:t>. 201</w:t>
            </w:r>
            <w:r>
              <w:rPr>
                <w:rFonts w:ascii="Arial" w:hAnsi="Arial" w:cs="Arial"/>
                <w:b/>
                <w:i/>
              </w:rPr>
              <w:t>9</w:t>
            </w:r>
            <w:r w:rsidRPr="00391133">
              <w:rPr>
                <w:rFonts w:ascii="Arial" w:hAnsi="Arial" w:cs="Arial"/>
                <w:b/>
                <w:i/>
              </w:rPr>
              <w:t xml:space="preserve"> → </w:t>
            </w:r>
            <w:r>
              <w:rPr>
                <w:rFonts w:ascii="Arial" w:hAnsi="Arial" w:cs="Arial"/>
                <w:b/>
                <w:i/>
              </w:rPr>
              <w:t>juil.</w:t>
            </w:r>
            <w:r w:rsidRPr="00391133">
              <w:rPr>
                <w:rFonts w:ascii="Arial" w:hAnsi="Arial" w:cs="Arial"/>
                <w:b/>
                <w:i/>
              </w:rPr>
              <w:t xml:space="preserve"> 2019 / </w:t>
            </w:r>
            <w:r>
              <w:rPr>
                <w:rFonts w:ascii="Arial" w:hAnsi="Arial" w:cs="Arial"/>
                <w:b/>
                <w:i/>
              </w:rPr>
              <w:t>jan</w:t>
            </w:r>
            <w:r w:rsidRPr="00391133">
              <w:rPr>
                <w:rFonts w:ascii="Arial" w:hAnsi="Arial" w:cs="Arial"/>
                <w:b/>
                <w:i/>
              </w:rPr>
              <w:t>. 201</w:t>
            </w:r>
            <w:r>
              <w:rPr>
                <w:rFonts w:ascii="Arial" w:hAnsi="Arial" w:cs="Arial"/>
                <w:b/>
                <w:i/>
              </w:rPr>
              <w:t>8</w:t>
            </w:r>
            <w:r w:rsidRPr="00391133">
              <w:rPr>
                <w:rFonts w:ascii="Arial" w:hAnsi="Arial" w:cs="Arial"/>
                <w:b/>
                <w:i/>
              </w:rPr>
              <w:t xml:space="preserve"> → </w:t>
            </w:r>
            <w:r>
              <w:rPr>
                <w:rFonts w:ascii="Arial" w:hAnsi="Arial" w:cs="Arial"/>
                <w:b/>
                <w:i/>
              </w:rPr>
              <w:t>juil.</w:t>
            </w:r>
            <w:r w:rsidRPr="00391133">
              <w:rPr>
                <w:rFonts w:ascii="Arial" w:hAnsi="Arial" w:cs="Arial"/>
                <w:b/>
                <w:i/>
              </w:rPr>
              <w:t xml:space="preserve"> 2018)</w:t>
            </w:r>
          </w:p>
        </w:tc>
      </w:tr>
      <w:tr w:rsidR="00823447" w:rsidRPr="00F128A2" w14:paraId="6AD95662" w14:textId="77777777" w:rsidTr="006B33CC">
        <w:tc>
          <w:tcPr>
            <w:tcW w:w="2258" w:type="dxa"/>
            <w:tcBorders>
              <w:top w:val="single" w:sz="2" w:space="0" w:color="000000"/>
              <w:bottom w:val="dashSmallGap" w:sz="4" w:space="0" w:color="000000"/>
            </w:tcBorders>
          </w:tcPr>
          <w:p w14:paraId="005BEBD0" w14:textId="77777777" w:rsidR="00823447" w:rsidRPr="00391133" w:rsidRDefault="00823447" w:rsidP="006B33CC">
            <w:pPr>
              <w:jc w:val="center"/>
              <w:rPr>
                <w:rFonts w:ascii="Arial" w:hAnsi="Arial" w:cs="Arial"/>
                <w:b/>
              </w:rPr>
            </w:pPr>
            <w:r w:rsidRPr="00391133">
              <w:rPr>
                <w:rFonts w:ascii="Arial" w:hAnsi="Arial" w:cs="Arial"/>
                <w:b/>
              </w:rPr>
              <w:t>Autorisations</w:t>
            </w:r>
          </w:p>
        </w:tc>
        <w:tc>
          <w:tcPr>
            <w:tcW w:w="2260" w:type="dxa"/>
            <w:tcBorders>
              <w:top w:val="single" w:sz="2" w:space="0" w:color="000000"/>
              <w:bottom w:val="dashSmallGap" w:sz="4" w:space="0" w:color="000000"/>
            </w:tcBorders>
          </w:tcPr>
          <w:p w14:paraId="61723725" w14:textId="77777777" w:rsidR="00823447" w:rsidRPr="00391133" w:rsidRDefault="00823447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-1,5 %</w:t>
            </w:r>
          </w:p>
        </w:tc>
        <w:tc>
          <w:tcPr>
            <w:tcW w:w="2263" w:type="dxa"/>
            <w:tcBorders>
              <w:top w:val="single" w:sz="2" w:space="0" w:color="000000"/>
              <w:bottom w:val="dashSmallGap" w:sz="4" w:space="0" w:color="000000"/>
            </w:tcBorders>
          </w:tcPr>
          <w:p w14:paraId="75BA6333" w14:textId="77777777" w:rsidR="00823447" w:rsidRPr="00391133" w:rsidRDefault="00823447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-7,7 %</w:t>
            </w:r>
          </w:p>
        </w:tc>
        <w:tc>
          <w:tcPr>
            <w:tcW w:w="2261" w:type="dxa"/>
            <w:tcBorders>
              <w:top w:val="single" w:sz="2" w:space="0" w:color="000000"/>
              <w:bottom w:val="dashSmallGap" w:sz="4" w:space="0" w:color="000000"/>
            </w:tcBorders>
          </w:tcPr>
          <w:p w14:paraId="0A7CA52D" w14:textId="77777777" w:rsidR="00823447" w:rsidRPr="00391133" w:rsidRDefault="00823447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-5,0 %</w:t>
            </w:r>
          </w:p>
        </w:tc>
      </w:tr>
      <w:tr w:rsidR="00823447" w:rsidRPr="00F128A2" w14:paraId="394A03F3" w14:textId="77777777" w:rsidTr="006B33CC">
        <w:tc>
          <w:tcPr>
            <w:tcW w:w="2258" w:type="dxa"/>
            <w:tcBorders>
              <w:top w:val="dashSmallGap" w:sz="4" w:space="0" w:color="000000"/>
              <w:bottom w:val="single" w:sz="2" w:space="0" w:color="000000"/>
            </w:tcBorders>
          </w:tcPr>
          <w:p w14:paraId="2ED3DFCB" w14:textId="77777777" w:rsidR="00823447" w:rsidRPr="00391133" w:rsidRDefault="00823447" w:rsidP="006B33CC">
            <w:pPr>
              <w:jc w:val="center"/>
              <w:rPr>
                <w:rFonts w:ascii="Arial" w:hAnsi="Arial" w:cs="Arial"/>
                <w:b/>
              </w:rPr>
            </w:pPr>
            <w:r w:rsidRPr="00391133">
              <w:rPr>
                <w:rFonts w:ascii="Arial" w:hAnsi="Arial" w:cs="Arial"/>
                <w:b/>
              </w:rPr>
              <w:t>Mises en chantier</w:t>
            </w:r>
          </w:p>
        </w:tc>
        <w:tc>
          <w:tcPr>
            <w:tcW w:w="2260" w:type="dxa"/>
            <w:tcBorders>
              <w:top w:val="dashSmallGap" w:sz="4" w:space="0" w:color="000000"/>
              <w:bottom w:val="single" w:sz="2" w:space="0" w:color="000000"/>
            </w:tcBorders>
          </w:tcPr>
          <w:p w14:paraId="113D41B2" w14:textId="77777777" w:rsidR="00823447" w:rsidRPr="00391133" w:rsidRDefault="00823447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-3,8 %</w:t>
            </w:r>
          </w:p>
        </w:tc>
        <w:tc>
          <w:tcPr>
            <w:tcW w:w="2263" w:type="dxa"/>
            <w:tcBorders>
              <w:top w:val="dashSmallGap" w:sz="4" w:space="0" w:color="000000"/>
              <w:bottom w:val="single" w:sz="2" w:space="0" w:color="000000"/>
            </w:tcBorders>
          </w:tcPr>
          <w:p w14:paraId="760E000F" w14:textId="77777777" w:rsidR="00823447" w:rsidRPr="00391133" w:rsidRDefault="00823447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-4,4 %</w:t>
            </w:r>
          </w:p>
        </w:tc>
        <w:tc>
          <w:tcPr>
            <w:tcW w:w="2261" w:type="dxa"/>
            <w:tcBorders>
              <w:top w:val="dashSmallGap" w:sz="4" w:space="0" w:color="000000"/>
              <w:bottom w:val="single" w:sz="2" w:space="0" w:color="000000"/>
            </w:tcBorders>
          </w:tcPr>
          <w:p w14:paraId="12253AB6" w14:textId="77777777" w:rsidR="00823447" w:rsidRPr="00391133" w:rsidRDefault="00823447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-4,1 %</w:t>
            </w:r>
          </w:p>
        </w:tc>
      </w:tr>
      <w:tr w:rsidR="00823447" w:rsidRPr="004E3507" w14:paraId="29E0AE5F" w14:textId="77777777" w:rsidTr="006B33CC">
        <w:tc>
          <w:tcPr>
            <w:tcW w:w="9042" w:type="dxa"/>
            <w:gridSpan w:val="4"/>
            <w:tcBorders>
              <w:bottom w:val="single" w:sz="2" w:space="0" w:color="000000"/>
            </w:tcBorders>
          </w:tcPr>
          <w:p w14:paraId="67866514" w14:textId="77777777" w:rsidR="00823447" w:rsidRPr="00EE1F2A" w:rsidRDefault="00823447" w:rsidP="006B33CC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823447" w:rsidRPr="004E3507" w14:paraId="0B5C1E28" w14:textId="77777777" w:rsidTr="006B33CC">
        <w:tc>
          <w:tcPr>
            <w:tcW w:w="9042" w:type="dxa"/>
            <w:gridSpan w:val="4"/>
            <w:tcBorders>
              <w:bottom w:val="single" w:sz="2" w:space="0" w:color="000000"/>
            </w:tcBorders>
          </w:tcPr>
          <w:p w14:paraId="2B8E40E3" w14:textId="77777777" w:rsidR="00823447" w:rsidRPr="00EE1F2A" w:rsidRDefault="00823447" w:rsidP="006B33CC">
            <w:pPr>
              <w:jc w:val="center"/>
              <w:rPr>
                <w:rFonts w:ascii="Arial" w:hAnsi="Arial" w:cs="Arial"/>
                <w:i/>
              </w:rPr>
            </w:pPr>
            <w:r w:rsidRPr="00EE1F2A">
              <w:rPr>
                <w:rFonts w:ascii="Arial" w:hAnsi="Arial" w:cs="Arial"/>
                <w:i/>
              </w:rPr>
              <w:t>Sur neuf mois (</w:t>
            </w:r>
            <w:r>
              <w:rPr>
                <w:rFonts w:ascii="Arial" w:hAnsi="Arial" w:cs="Arial"/>
                <w:i/>
              </w:rPr>
              <w:t>nov.</w:t>
            </w:r>
            <w:r w:rsidRPr="00EE1F2A">
              <w:rPr>
                <w:rFonts w:ascii="Arial" w:hAnsi="Arial" w:cs="Arial"/>
                <w:i/>
              </w:rPr>
              <w:t xml:space="preserve"> 2018 → </w:t>
            </w:r>
            <w:r>
              <w:rPr>
                <w:rFonts w:ascii="Arial" w:hAnsi="Arial" w:cs="Arial"/>
                <w:i/>
              </w:rPr>
              <w:t>juil.</w:t>
            </w:r>
            <w:r w:rsidRPr="00EE1F2A">
              <w:rPr>
                <w:rFonts w:ascii="Arial" w:hAnsi="Arial" w:cs="Arial"/>
                <w:i/>
              </w:rPr>
              <w:t xml:space="preserve"> 201</w:t>
            </w:r>
            <w:r>
              <w:rPr>
                <w:rFonts w:ascii="Arial" w:hAnsi="Arial" w:cs="Arial"/>
                <w:i/>
              </w:rPr>
              <w:t>9</w:t>
            </w:r>
            <w:r w:rsidRPr="00EE1F2A">
              <w:rPr>
                <w:rFonts w:ascii="Arial" w:hAnsi="Arial" w:cs="Arial"/>
                <w:i/>
              </w:rPr>
              <w:t xml:space="preserve"> / </w:t>
            </w:r>
            <w:r>
              <w:rPr>
                <w:rFonts w:ascii="Arial" w:hAnsi="Arial" w:cs="Arial"/>
                <w:i/>
              </w:rPr>
              <w:t>nov.</w:t>
            </w:r>
            <w:r w:rsidRPr="00EE1F2A">
              <w:rPr>
                <w:rFonts w:ascii="Arial" w:hAnsi="Arial" w:cs="Arial"/>
                <w:i/>
              </w:rPr>
              <w:t xml:space="preserve"> 201</w:t>
            </w:r>
            <w:r>
              <w:rPr>
                <w:rFonts w:ascii="Arial" w:hAnsi="Arial" w:cs="Arial"/>
                <w:i/>
              </w:rPr>
              <w:t>7</w:t>
            </w:r>
            <w:r w:rsidRPr="00EE1F2A">
              <w:rPr>
                <w:rFonts w:ascii="Arial" w:hAnsi="Arial" w:cs="Arial"/>
                <w:i/>
              </w:rPr>
              <w:t xml:space="preserve"> → </w:t>
            </w:r>
            <w:r>
              <w:rPr>
                <w:rFonts w:ascii="Arial" w:hAnsi="Arial" w:cs="Arial"/>
                <w:i/>
              </w:rPr>
              <w:t>juil.</w:t>
            </w:r>
            <w:r w:rsidRPr="00EE1F2A">
              <w:rPr>
                <w:rFonts w:ascii="Arial" w:hAnsi="Arial" w:cs="Arial"/>
                <w:i/>
              </w:rPr>
              <w:t xml:space="preserve"> 201</w:t>
            </w:r>
            <w:r>
              <w:rPr>
                <w:rFonts w:ascii="Arial" w:hAnsi="Arial" w:cs="Arial"/>
                <w:i/>
              </w:rPr>
              <w:t>8</w:t>
            </w:r>
            <w:r w:rsidRPr="00EE1F2A">
              <w:rPr>
                <w:rFonts w:ascii="Arial" w:hAnsi="Arial" w:cs="Arial"/>
                <w:i/>
              </w:rPr>
              <w:t>)</w:t>
            </w:r>
          </w:p>
        </w:tc>
      </w:tr>
      <w:tr w:rsidR="00823447" w:rsidRPr="004E3507" w14:paraId="5E1CC567" w14:textId="77777777" w:rsidTr="006B33CC">
        <w:tc>
          <w:tcPr>
            <w:tcW w:w="2258" w:type="dxa"/>
            <w:tcBorders>
              <w:top w:val="single" w:sz="2" w:space="0" w:color="000000"/>
              <w:bottom w:val="dashSmallGap" w:sz="4" w:space="0" w:color="000000"/>
            </w:tcBorders>
          </w:tcPr>
          <w:p w14:paraId="67FDA844" w14:textId="77777777" w:rsidR="00823447" w:rsidRPr="00EE1F2A" w:rsidRDefault="00823447" w:rsidP="006B33CC">
            <w:pPr>
              <w:jc w:val="center"/>
              <w:rPr>
                <w:rFonts w:ascii="Arial" w:hAnsi="Arial" w:cs="Arial"/>
              </w:rPr>
            </w:pPr>
            <w:r w:rsidRPr="00EE1F2A">
              <w:rPr>
                <w:rFonts w:ascii="Arial" w:hAnsi="Arial" w:cs="Arial"/>
              </w:rPr>
              <w:t>Autorisations</w:t>
            </w:r>
          </w:p>
        </w:tc>
        <w:tc>
          <w:tcPr>
            <w:tcW w:w="2260" w:type="dxa"/>
            <w:tcBorders>
              <w:top w:val="single" w:sz="2" w:space="0" w:color="000000"/>
              <w:bottom w:val="dashSmallGap" w:sz="4" w:space="0" w:color="000000"/>
            </w:tcBorders>
          </w:tcPr>
          <w:p w14:paraId="092D1A57" w14:textId="77777777" w:rsidR="00823447" w:rsidRPr="00EE1F2A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-2,9 %</w:t>
            </w:r>
          </w:p>
        </w:tc>
        <w:tc>
          <w:tcPr>
            <w:tcW w:w="2263" w:type="dxa"/>
            <w:tcBorders>
              <w:top w:val="single" w:sz="2" w:space="0" w:color="000000"/>
              <w:bottom w:val="dashSmallGap" w:sz="4" w:space="0" w:color="000000"/>
            </w:tcBorders>
          </w:tcPr>
          <w:p w14:paraId="225822B8" w14:textId="77777777" w:rsidR="00823447" w:rsidRPr="00EE1F2A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-8,7 %</w:t>
            </w:r>
          </w:p>
        </w:tc>
        <w:tc>
          <w:tcPr>
            <w:tcW w:w="2261" w:type="dxa"/>
            <w:tcBorders>
              <w:top w:val="single" w:sz="2" w:space="0" w:color="000000"/>
              <w:bottom w:val="dashSmallGap" w:sz="4" w:space="0" w:color="000000"/>
            </w:tcBorders>
          </w:tcPr>
          <w:p w14:paraId="2A38BFA4" w14:textId="77777777" w:rsidR="00823447" w:rsidRPr="00EE1F2A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-6,2 %</w:t>
            </w:r>
          </w:p>
        </w:tc>
      </w:tr>
      <w:tr w:rsidR="00823447" w:rsidRPr="004E3507" w14:paraId="681910D0" w14:textId="77777777" w:rsidTr="006B33CC">
        <w:tc>
          <w:tcPr>
            <w:tcW w:w="2258" w:type="dxa"/>
            <w:tcBorders>
              <w:top w:val="dashSmallGap" w:sz="4" w:space="0" w:color="000000"/>
              <w:bottom w:val="single" w:sz="2" w:space="0" w:color="000000"/>
            </w:tcBorders>
          </w:tcPr>
          <w:p w14:paraId="10CDDD8F" w14:textId="77777777" w:rsidR="00823447" w:rsidRPr="00EE1F2A" w:rsidRDefault="00823447" w:rsidP="006B33CC">
            <w:pPr>
              <w:jc w:val="center"/>
              <w:rPr>
                <w:rFonts w:ascii="Arial" w:hAnsi="Arial" w:cs="Arial"/>
              </w:rPr>
            </w:pPr>
            <w:r w:rsidRPr="00EE1F2A">
              <w:rPr>
                <w:rFonts w:ascii="Arial" w:hAnsi="Arial" w:cs="Arial"/>
              </w:rPr>
              <w:t>Mises en chantier</w:t>
            </w:r>
          </w:p>
        </w:tc>
        <w:tc>
          <w:tcPr>
            <w:tcW w:w="2260" w:type="dxa"/>
            <w:tcBorders>
              <w:top w:val="dashSmallGap" w:sz="4" w:space="0" w:color="000000"/>
              <w:bottom w:val="single" w:sz="2" w:space="0" w:color="000000"/>
            </w:tcBorders>
          </w:tcPr>
          <w:p w14:paraId="44B961F5" w14:textId="77777777" w:rsidR="00823447" w:rsidRPr="00EE1F2A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-5,8 %</w:t>
            </w:r>
          </w:p>
        </w:tc>
        <w:tc>
          <w:tcPr>
            <w:tcW w:w="2263" w:type="dxa"/>
            <w:tcBorders>
              <w:top w:val="dashSmallGap" w:sz="4" w:space="0" w:color="000000"/>
              <w:bottom w:val="single" w:sz="2" w:space="0" w:color="000000"/>
            </w:tcBorders>
          </w:tcPr>
          <w:p w14:paraId="16EFD7E3" w14:textId="77777777" w:rsidR="00823447" w:rsidRPr="00EE1F2A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-5,8 %</w:t>
            </w:r>
          </w:p>
        </w:tc>
        <w:tc>
          <w:tcPr>
            <w:tcW w:w="2261" w:type="dxa"/>
            <w:tcBorders>
              <w:top w:val="dashSmallGap" w:sz="4" w:space="0" w:color="000000"/>
              <w:bottom w:val="single" w:sz="2" w:space="0" w:color="000000"/>
            </w:tcBorders>
          </w:tcPr>
          <w:p w14:paraId="0A39D7D1" w14:textId="77777777" w:rsidR="00823447" w:rsidRPr="00EE1F2A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-5,8 %</w:t>
            </w:r>
          </w:p>
        </w:tc>
      </w:tr>
      <w:tr w:rsidR="00823447" w:rsidRPr="004E3507" w14:paraId="351DFF7D" w14:textId="77777777" w:rsidTr="006B33CC">
        <w:tc>
          <w:tcPr>
            <w:tcW w:w="9042" w:type="dxa"/>
            <w:gridSpan w:val="4"/>
            <w:tcBorders>
              <w:top w:val="single" w:sz="2" w:space="0" w:color="000000"/>
            </w:tcBorders>
          </w:tcPr>
          <w:p w14:paraId="24A6FBFE" w14:textId="77777777" w:rsidR="00823447" w:rsidRPr="004E3507" w:rsidRDefault="00823447" w:rsidP="006B33C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23447" w:rsidRPr="004E3507" w14:paraId="3E923709" w14:textId="77777777" w:rsidTr="006B33CC">
        <w:tc>
          <w:tcPr>
            <w:tcW w:w="9042" w:type="dxa"/>
            <w:gridSpan w:val="4"/>
            <w:tcBorders>
              <w:bottom w:val="single" w:sz="2" w:space="0" w:color="000000"/>
            </w:tcBorders>
          </w:tcPr>
          <w:p w14:paraId="5ADF2B6F" w14:textId="77777777" w:rsidR="00823447" w:rsidRPr="0042352B" w:rsidRDefault="00823447" w:rsidP="006B33CC">
            <w:pPr>
              <w:jc w:val="center"/>
              <w:rPr>
                <w:rFonts w:ascii="Arial" w:hAnsi="Arial" w:cs="Arial"/>
                <w:i/>
              </w:rPr>
            </w:pPr>
            <w:r w:rsidRPr="0042352B">
              <w:rPr>
                <w:rFonts w:ascii="Arial" w:hAnsi="Arial" w:cs="Arial"/>
                <w:i/>
              </w:rPr>
              <w:t>Sur un an (</w:t>
            </w:r>
            <w:r>
              <w:rPr>
                <w:rFonts w:ascii="Arial" w:hAnsi="Arial" w:cs="Arial"/>
                <w:i/>
              </w:rPr>
              <w:t>août</w:t>
            </w:r>
            <w:r w:rsidRPr="0042352B">
              <w:rPr>
                <w:rFonts w:ascii="Arial" w:hAnsi="Arial" w:cs="Arial"/>
                <w:i/>
              </w:rPr>
              <w:t xml:space="preserve"> 2018 → </w:t>
            </w:r>
            <w:r>
              <w:rPr>
                <w:rFonts w:ascii="Arial" w:hAnsi="Arial" w:cs="Arial"/>
                <w:i/>
              </w:rPr>
              <w:t xml:space="preserve">juil. </w:t>
            </w:r>
            <w:r w:rsidRPr="0042352B">
              <w:rPr>
                <w:rFonts w:ascii="Arial" w:hAnsi="Arial" w:cs="Arial"/>
                <w:i/>
              </w:rPr>
              <w:t xml:space="preserve">2019 / </w:t>
            </w:r>
            <w:r>
              <w:rPr>
                <w:rFonts w:ascii="Arial" w:hAnsi="Arial" w:cs="Arial"/>
                <w:i/>
              </w:rPr>
              <w:t xml:space="preserve">août </w:t>
            </w:r>
            <w:r w:rsidRPr="0042352B">
              <w:rPr>
                <w:rFonts w:ascii="Arial" w:hAnsi="Arial" w:cs="Arial"/>
                <w:i/>
              </w:rPr>
              <w:t>201</w:t>
            </w:r>
            <w:r>
              <w:rPr>
                <w:rFonts w:ascii="Arial" w:hAnsi="Arial" w:cs="Arial"/>
                <w:i/>
              </w:rPr>
              <w:t>7</w:t>
            </w:r>
            <w:r w:rsidRPr="0042352B">
              <w:rPr>
                <w:rFonts w:ascii="Arial" w:hAnsi="Arial" w:cs="Arial"/>
                <w:i/>
              </w:rPr>
              <w:t xml:space="preserve"> → </w:t>
            </w:r>
            <w:r>
              <w:rPr>
                <w:rFonts w:ascii="Arial" w:hAnsi="Arial" w:cs="Arial"/>
                <w:i/>
              </w:rPr>
              <w:t>juil.</w:t>
            </w:r>
            <w:r w:rsidRPr="0042352B">
              <w:rPr>
                <w:rFonts w:ascii="Arial" w:hAnsi="Arial" w:cs="Arial"/>
                <w:i/>
              </w:rPr>
              <w:t xml:space="preserve"> 2018)</w:t>
            </w:r>
          </w:p>
        </w:tc>
      </w:tr>
      <w:tr w:rsidR="00823447" w:rsidRPr="004E3507" w14:paraId="6BB72C15" w14:textId="77777777" w:rsidTr="006B33CC">
        <w:tc>
          <w:tcPr>
            <w:tcW w:w="2258" w:type="dxa"/>
            <w:tcBorders>
              <w:top w:val="single" w:sz="2" w:space="0" w:color="000000"/>
              <w:bottom w:val="dashSmallGap" w:sz="4" w:space="0" w:color="000000"/>
            </w:tcBorders>
          </w:tcPr>
          <w:p w14:paraId="0A563BD3" w14:textId="77777777" w:rsidR="00823447" w:rsidRPr="0042352B" w:rsidRDefault="00823447" w:rsidP="006B33CC">
            <w:pPr>
              <w:jc w:val="center"/>
              <w:rPr>
                <w:rFonts w:ascii="Arial" w:hAnsi="Arial" w:cs="Arial"/>
              </w:rPr>
            </w:pPr>
            <w:r w:rsidRPr="0042352B">
              <w:rPr>
                <w:rFonts w:ascii="Arial" w:hAnsi="Arial" w:cs="Arial"/>
              </w:rPr>
              <w:t>Autorisations</w:t>
            </w:r>
          </w:p>
        </w:tc>
        <w:tc>
          <w:tcPr>
            <w:tcW w:w="2260" w:type="dxa"/>
            <w:tcBorders>
              <w:top w:val="single" w:sz="2" w:space="0" w:color="000000"/>
              <w:bottom w:val="dashSmallGap" w:sz="4" w:space="0" w:color="000000"/>
            </w:tcBorders>
          </w:tcPr>
          <w:p w14:paraId="2941C22E" w14:textId="77777777" w:rsidR="00823447" w:rsidRPr="0042352B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-3,7 %</w:t>
            </w:r>
          </w:p>
        </w:tc>
        <w:tc>
          <w:tcPr>
            <w:tcW w:w="2263" w:type="dxa"/>
            <w:tcBorders>
              <w:top w:val="single" w:sz="2" w:space="0" w:color="000000"/>
              <w:bottom w:val="dashSmallGap" w:sz="4" w:space="0" w:color="000000"/>
            </w:tcBorders>
          </w:tcPr>
          <w:p w14:paraId="5AC31ED9" w14:textId="77777777" w:rsidR="00823447" w:rsidRPr="0042352B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-8,0 %</w:t>
            </w:r>
          </w:p>
        </w:tc>
        <w:tc>
          <w:tcPr>
            <w:tcW w:w="2261" w:type="dxa"/>
            <w:tcBorders>
              <w:top w:val="single" w:sz="2" w:space="0" w:color="000000"/>
              <w:bottom w:val="dashSmallGap" w:sz="4" w:space="0" w:color="000000"/>
            </w:tcBorders>
          </w:tcPr>
          <w:p w14:paraId="0A835742" w14:textId="77777777" w:rsidR="00823447" w:rsidRPr="0042352B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-6,2 %</w:t>
            </w:r>
          </w:p>
        </w:tc>
      </w:tr>
      <w:tr w:rsidR="00823447" w:rsidRPr="004E3507" w14:paraId="457C3D63" w14:textId="77777777" w:rsidTr="006B33CC">
        <w:tc>
          <w:tcPr>
            <w:tcW w:w="2258" w:type="dxa"/>
            <w:tcBorders>
              <w:top w:val="dashSmallGap" w:sz="4" w:space="0" w:color="000000"/>
              <w:bottom w:val="single" w:sz="12" w:space="0" w:color="000000"/>
            </w:tcBorders>
          </w:tcPr>
          <w:p w14:paraId="6D2308CE" w14:textId="77777777" w:rsidR="00823447" w:rsidRPr="0042352B" w:rsidRDefault="00823447" w:rsidP="006B33CC">
            <w:pPr>
              <w:jc w:val="center"/>
              <w:rPr>
                <w:rFonts w:ascii="Arial" w:hAnsi="Arial" w:cs="Arial"/>
              </w:rPr>
            </w:pPr>
            <w:r w:rsidRPr="0042352B">
              <w:rPr>
                <w:rFonts w:ascii="Arial" w:hAnsi="Arial" w:cs="Arial"/>
              </w:rPr>
              <w:t>Mises en chantier</w:t>
            </w:r>
          </w:p>
        </w:tc>
        <w:tc>
          <w:tcPr>
            <w:tcW w:w="2260" w:type="dxa"/>
            <w:tcBorders>
              <w:top w:val="dashSmallGap" w:sz="4" w:space="0" w:color="000000"/>
              <w:bottom w:val="single" w:sz="12" w:space="0" w:color="000000"/>
            </w:tcBorders>
          </w:tcPr>
          <w:p w14:paraId="7415A551" w14:textId="77777777" w:rsidR="00823447" w:rsidRPr="0042352B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-5,9 %</w:t>
            </w:r>
          </w:p>
        </w:tc>
        <w:tc>
          <w:tcPr>
            <w:tcW w:w="2263" w:type="dxa"/>
            <w:tcBorders>
              <w:top w:val="dashSmallGap" w:sz="4" w:space="0" w:color="000000"/>
              <w:bottom w:val="single" w:sz="12" w:space="0" w:color="000000"/>
            </w:tcBorders>
          </w:tcPr>
          <w:p w14:paraId="7D741693" w14:textId="77777777" w:rsidR="00823447" w:rsidRPr="0042352B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-3,9 %</w:t>
            </w:r>
          </w:p>
        </w:tc>
        <w:tc>
          <w:tcPr>
            <w:tcW w:w="2261" w:type="dxa"/>
            <w:tcBorders>
              <w:top w:val="dashSmallGap" w:sz="4" w:space="0" w:color="000000"/>
              <w:bottom w:val="single" w:sz="12" w:space="0" w:color="000000"/>
            </w:tcBorders>
          </w:tcPr>
          <w:p w14:paraId="6992F2DF" w14:textId="77777777" w:rsidR="00823447" w:rsidRPr="0042352B" w:rsidRDefault="00823447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-4,8 %</w:t>
            </w:r>
          </w:p>
        </w:tc>
      </w:tr>
    </w:tbl>
    <w:p w14:paraId="4D09927D" w14:textId="026C8A1B" w:rsidR="00EF2D2E" w:rsidRPr="00A665B6" w:rsidRDefault="00144296" w:rsidP="00731C15">
      <w:pPr>
        <w:spacing w:before="30"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CB20BC">
        <w:rPr>
          <w:rFonts w:ascii="Arial" w:hAnsi="Arial" w:cs="Arial"/>
          <w:i/>
          <w:sz w:val="20"/>
          <w:szCs w:val="20"/>
        </w:rPr>
        <w:t xml:space="preserve">Source : </w:t>
      </w:r>
      <w:r>
        <w:rPr>
          <w:rFonts w:ascii="Arial" w:hAnsi="Arial" w:cs="Arial"/>
          <w:i/>
          <w:sz w:val="20"/>
          <w:szCs w:val="20"/>
        </w:rPr>
        <w:t xml:space="preserve">FFB d’après </w:t>
      </w:r>
      <w:r w:rsidRPr="00CB20BC">
        <w:rPr>
          <w:rFonts w:ascii="Arial" w:hAnsi="Arial" w:cs="Arial"/>
          <w:i/>
          <w:sz w:val="20"/>
          <w:szCs w:val="20"/>
        </w:rPr>
        <w:t>MT</w:t>
      </w:r>
      <w:r>
        <w:rPr>
          <w:rFonts w:ascii="Arial" w:hAnsi="Arial" w:cs="Arial"/>
          <w:i/>
          <w:sz w:val="20"/>
          <w:szCs w:val="20"/>
        </w:rPr>
        <w:t>ES/</w:t>
      </w:r>
      <w:r w:rsidRPr="00CB20BC">
        <w:rPr>
          <w:rFonts w:ascii="Arial" w:hAnsi="Arial" w:cs="Arial"/>
          <w:i/>
          <w:sz w:val="20"/>
          <w:szCs w:val="20"/>
        </w:rPr>
        <w:t>CGDD</w:t>
      </w:r>
      <w:r>
        <w:rPr>
          <w:rFonts w:ascii="Arial" w:hAnsi="Arial" w:cs="Arial"/>
          <w:i/>
          <w:sz w:val="20"/>
          <w:szCs w:val="20"/>
        </w:rPr>
        <w:t>/SDES, Sit@del2</w:t>
      </w:r>
    </w:p>
    <w:p w14:paraId="0345937D" w14:textId="41BE8C41" w:rsidR="00EF2D2E" w:rsidRDefault="00EF2D2E" w:rsidP="00F119CC">
      <w:pPr>
        <w:pStyle w:val="Sansinterligne"/>
        <w:spacing w:line="360" w:lineRule="auto"/>
      </w:pPr>
    </w:p>
    <w:p w14:paraId="62C8A582" w14:textId="2ED5EC3D" w:rsidR="001F7813" w:rsidRDefault="00EB0EC9" w:rsidP="006E7E2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Reste qu’en glissement annuel sur douze mois à fin juillet 2019,</w:t>
      </w:r>
      <w:r w:rsidR="005E6AE7">
        <w:rPr>
          <w:rFonts w:ascii="Arial" w:hAnsi="Arial" w:cs="Arial"/>
        </w:rPr>
        <w:t xml:space="preserve"> </w:t>
      </w:r>
      <w:r w:rsidR="00A6731F">
        <w:rPr>
          <w:rFonts w:ascii="Arial" w:hAnsi="Arial" w:cs="Arial"/>
        </w:rPr>
        <w:t>treize ex-régions sur vingt-deux</w:t>
      </w:r>
      <w:r w:rsidR="00F150E5">
        <w:rPr>
          <w:rFonts w:ascii="Arial" w:hAnsi="Arial" w:cs="Arial"/>
        </w:rPr>
        <w:t xml:space="preserve"> affichent </w:t>
      </w:r>
      <w:r w:rsidR="008A1DF5">
        <w:rPr>
          <w:rFonts w:ascii="Arial" w:hAnsi="Arial" w:cs="Arial"/>
        </w:rPr>
        <w:t xml:space="preserve">à la fois </w:t>
      </w:r>
      <w:r w:rsidR="00A6731F">
        <w:rPr>
          <w:rFonts w:ascii="Arial" w:hAnsi="Arial" w:cs="Arial"/>
        </w:rPr>
        <w:t xml:space="preserve">des baisses </w:t>
      </w:r>
      <w:r w:rsidR="00F150E5">
        <w:rPr>
          <w:rFonts w:ascii="Arial" w:hAnsi="Arial" w:cs="Arial"/>
        </w:rPr>
        <w:t xml:space="preserve">de leurs </w:t>
      </w:r>
      <w:r w:rsidR="00A6731F">
        <w:rPr>
          <w:rFonts w:ascii="Arial" w:hAnsi="Arial" w:cs="Arial"/>
        </w:rPr>
        <w:t>autorisations et mises en chantier</w:t>
      </w:r>
      <w:r w:rsidR="00F150E5">
        <w:rPr>
          <w:rFonts w:ascii="Arial" w:hAnsi="Arial" w:cs="Arial"/>
        </w:rPr>
        <w:t>.</w:t>
      </w:r>
    </w:p>
    <w:p w14:paraId="3BA52115" w14:textId="77777777" w:rsidR="005E6AE7" w:rsidRPr="00EB0EC9" w:rsidRDefault="005E6AE7" w:rsidP="00EB0EC9">
      <w:pPr>
        <w:pStyle w:val="Sansinterligne"/>
      </w:pPr>
    </w:p>
    <w:p w14:paraId="4A0C7550" w14:textId="71566240" w:rsidR="00EF2D2E" w:rsidRPr="00F826B0" w:rsidRDefault="00EF2D2E" w:rsidP="00F826B0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sz w:val="22"/>
          <w:szCs w:val="22"/>
        </w:rPr>
      </w:pPr>
      <w:r w:rsidRPr="00F826B0">
        <w:rPr>
          <w:rFonts w:ascii="Arial" w:hAnsi="Arial" w:cs="Arial"/>
          <w:sz w:val="22"/>
          <w:szCs w:val="22"/>
        </w:rPr>
        <w:t>Cartes 2a et 2b –</w:t>
      </w:r>
      <w:r w:rsidRPr="00F826B0">
        <w:rPr>
          <w:rFonts w:ascii="Arial" w:hAnsi="Arial" w:cs="Arial"/>
          <w:b/>
          <w:sz w:val="22"/>
          <w:szCs w:val="22"/>
        </w:rPr>
        <w:t xml:space="preserve"> Évolutions </w:t>
      </w:r>
      <w:r w:rsidR="00120B12">
        <w:rPr>
          <w:rFonts w:ascii="Arial" w:hAnsi="Arial" w:cs="Arial"/>
          <w:b/>
          <w:sz w:val="22"/>
          <w:szCs w:val="22"/>
        </w:rPr>
        <w:t xml:space="preserve">régionales </w:t>
      </w:r>
      <w:r w:rsidRPr="00F826B0">
        <w:rPr>
          <w:rFonts w:ascii="Arial" w:hAnsi="Arial" w:cs="Arial"/>
          <w:sz w:val="22"/>
          <w:szCs w:val="22"/>
        </w:rPr>
        <w:t>(en %, en glissement annuel)</w:t>
      </w:r>
      <w:r w:rsidRPr="00F826B0">
        <w:rPr>
          <w:rFonts w:ascii="Arial" w:hAnsi="Arial" w:cs="Arial"/>
          <w:b/>
          <w:sz w:val="22"/>
          <w:szCs w:val="22"/>
        </w:rPr>
        <w:t xml:space="preserve"> sur </w:t>
      </w:r>
      <w:r w:rsidR="0063190A" w:rsidRPr="00F826B0">
        <w:rPr>
          <w:rFonts w:ascii="Arial" w:hAnsi="Arial" w:cs="Arial"/>
          <w:b/>
          <w:sz w:val="22"/>
          <w:szCs w:val="22"/>
        </w:rPr>
        <w:t>douze</w:t>
      </w:r>
      <w:r w:rsidRPr="00F826B0">
        <w:rPr>
          <w:rFonts w:ascii="Arial" w:hAnsi="Arial" w:cs="Arial"/>
          <w:b/>
          <w:sz w:val="22"/>
          <w:szCs w:val="22"/>
        </w:rPr>
        <w:t xml:space="preserve"> mois</w:t>
      </w:r>
    </w:p>
    <w:p w14:paraId="5AFD5760" w14:textId="5E0D8262" w:rsidR="00EF2D2E" w:rsidRDefault="00EF2D2E" w:rsidP="00E444B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à fin </w:t>
      </w:r>
      <w:r w:rsidR="00743408">
        <w:rPr>
          <w:rFonts w:ascii="Arial" w:hAnsi="Arial" w:cs="Arial"/>
          <w:b/>
        </w:rPr>
        <w:t>juillet</w:t>
      </w:r>
      <w:r w:rsidR="009A26C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201</w:t>
      </w:r>
      <w:r w:rsidR="00120B12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 des permis et des mises en chantier d</w:t>
      </w:r>
      <w:r w:rsidR="0063190A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logement</w:t>
      </w:r>
      <w:r w:rsidR="0063190A">
        <w:rPr>
          <w:rFonts w:ascii="Arial" w:hAnsi="Arial" w:cs="Arial"/>
          <w:b/>
        </w:rPr>
        <w:t>s</w:t>
      </w:r>
    </w:p>
    <w:p w14:paraId="65103702" w14:textId="2B1399D5" w:rsidR="00EF2D2E" w:rsidRPr="00FD541A" w:rsidRDefault="00DA3140" w:rsidP="00E44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2A013D5F" wp14:editId="30476951">
            <wp:extent cx="5760720" cy="263652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ns titre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B39B1" w14:textId="7F0346CA" w:rsidR="00EF2D2E" w:rsidRPr="008D1C96" w:rsidRDefault="00EF2D2E" w:rsidP="00731C15">
      <w:pPr>
        <w:spacing w:before="30"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8D1C96">
        <w:rPr>
          <w:rFonts w:ascii="Arial" w:hAnsi="Arial" w:cs="Arial"/>
          <w:i/>
          <w:sz w:val="20"/>
          <w:szCs w:val="20"/>
        </w:rPr>
        <w:t>Source : MT</w:t>
      </w:r>
      <w:r w:rsidR="00667FA4">
        <w:rPr>
          <w:rFonts w:ascii="Arial" w:hAnsi="Arial" w:cs="Arial"/>
          <w:i/>
          <w:sz w:val="20"/>
          <w:szCs w:val="20"/>
        </w:rPr>
        <w:t>ES</w:t>
      </w:r>
      <w:r w:rsidR="00FE2E5F" w:rsidRPr="008D1C96">
        <w:rPr>
          <w:rFonts w:ascii="Arial" w:hAnsi="Arial" w:cs="Arial"/>
          <w:i/>
          <w:sz w:val="20"/>
          <w:szCs w:val="20"/>
        </w:rPr>
        <w:t>/</w:t>
      </w:r>
      <w:r w:rsidRPr="008D1C96">
        <w:rPr>
          <w:rFonts w:ascii="Arial" w:hAnsi="Arial" w:cs="Arial"/>
          <w:i/>
          <w:sz w:val="20"/>
          <w:szCs w:val="20"/>
        </w:rPr>
        <w:t>CGDD</w:t>
      </w:r>
      <w:r w:rsidR="00FE2E5F" w:rsidRPr="008D1C96">
        <w:rPr>
          <w:rFonts w:ascii="Arial" w:hAnsi="Arial" w:cs="Arial"/>
          <w:i/>
          <w:sz w:val="20"/>
          <w:szCs w:val="20"/>
        </w:rPr>
        <w:t>/</w:t>
      </w:r>
      <w:r w:rsidRPr="008D1C96">
        <w:rPr>
          <w:rFonts w:ascii="Arial" w:hAnsi="Arial" w:cs="Arial"/>
          <w:i/>
          <w:sz w:val="20"/>
          <w:szCs w:val="20"/>
        </w:rPr>
        <w:t xml:space="preserve">SDES, </w:t>
      </w:r>
      <w:r w:rsidR="00FE2E5F" w:rsidRPr="008D1C96">
        <w:rPr>
          <w:rFonts w:ascii="Arial" w:hAnsi="Arial" w:cs="Arial"/>
          <w:i/>
          <w:sz w:val="20"/>
          <w:szCs w:val="20"/>
        </w:rPr>
        <w:t>Sit@del2</w:t>
      </w:r>
      <w:r w:rsidRPr="008D1C96">
        <w:rPr>
          <w:rFonts w:ascii="Arial" w:hAnsi="Arial" w:cs="Arial"/>
          <w:i/>
          <w:sz w:val="20"/>
          <w:szCs w:val="20"/>
        </w:rPr>
        <w:t xml:space="preserve"> </w:t>
      </w:r>
    </w:p>
    <w:p w14:paraId="3CAF4384" w14:textId="4FC3D94F" w:rsidR="00EF2D2E" w:rsidRPr="00DC4924" w:rsidRDefault="00EF2D2E" w:rsidP="00E444BA">
      <w:pPr>
        <w:spacing w:after="0" w:line="36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2.2 Le non résidentiel neuf</w:t>
      </w:r>
    </w:p>
    <w:p w14:paraId="2ABE018F" w14:textId="469DE419" w:rsidR="00EF2D2E" w:rsidRDefault="00EF2D2E" w:rsidP="00F119CC">
      <w:pPr>
        <w:pStyle w:val="Sansinterligne"/>
        <w:spacing w:line="360" w:lineRule="auto"/>
      </w:pPr>
    </w:p>
    <w:p w14:paraId="5E6477B9" w14:textId="55BADF45" w:rsidR="006E579A" w:rsidRDefault="006E579A" w:rsidP="00CE38C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 non résidentiel neuf ressort mieux orienté que le logement neuf</w:t>
      </w:r>
      <w:r w:rsidR="00DA3140">
        <w:rPr>
          <w:rFonts w:ascii="Arial" w:hAnsi="Arial" w:cs="Arial"/>
        </w:rPr>
        <w:t xml:space="preserve"> depuis le début 2019</w:t>
      </w:r>
      <w:r>
        <w:rPr>
          <w:rFonts w:ascii="Arial" w:hAnsi="Arial" w:cs="Arial"/>
        </w:rPr>
        <w:t xml:space="preserve">. </w:t>
      </w:r>
      <w:r w:rsidR="00EB0EC9">
        <w:rPr>
          <w:rFonts w:ascii="Arial" w:hAnsi="Arial" w:cs="Arial"/>
        </w:rPr>
        <w:t>H</w:t>
      </w:r>
      <w:r w:rsidR="005A20DE" w:rsidRPr="005A20DE">
        <w:rPr>
          <w:rFonts w:ascii="Arial" w:hAnsi="Arial" w:cs="Arial"/>
        </w:rPr>
        <w:t xml:space="preserve">ors locaux agricoles, en glissement annuel sur sept mois à fin juillet 2019, les surfaces autorisées </w:t>
      </w:r>
      <w:r>
        <w:rPr>
          <w:rFonts w:ascii="Arial" w:hAnsi="Arial" w:cs="Arial"/>
        </w:rPr>
        <w:t xml:space="preserve">et commencées </w:t>
      </w:r>
      <w:r w:rsidR="005A20DE" w:rsidRPr="005A20DE">
        <w:rPr>
          <w:rFonts w:ascii="Arial" w:hAnsi="Arial" w:cs="Arial"/>
        </w:rPr>
        <w:t>s’affichent e</w:t>
      </w:r>
      <w:r>
        <w:rPr>
          <w:rFonts w:ascii="Arial" w:hAnsi="Arial" w:cs="Arial"/>
        </w:rPr>
        <w:t xml:space="preserve">n </w:t>
      </w:r>
      <w:r w:rsidR="005A20DE" w:rsidRPr="005A20DE">
        <w:rPr>
          <w:rFonts w:ascii="Arial" w:hAnsi="Arial" w:cs="Arial"/>
        </w:rPr>
        <w:t>progression</w:t>
      </w:r>
      <w:r>
        <w:rPr>
          <w:rFonts w:ascii="Arial" w:hAnsi="Arial" w:cs="Arial"/>
        </w:rPr>
        <w:t xml:space="preserve">s respectives </w:t>
      </w:r>
      <w:r w:rsidR="005A20DE" w:rsidRPr="005A20DE">
        <w:rPr>
          <w:rFonts w:ascii="Arial" w:hAnsi="Arial" w:cs="Arial"/>
        </w:rPr>
        <w:t>de 15,6</w:t>
      </w:r>
      <w:r w:rsidR="00EB0EC9">
        <w:rPr>
          <w:rFonts w:ascii="Arial" w:hAnsi="Arial" w:cs="Arial"/>
        </w:rPr>
        <w:t> </w:t>
      </w:r>
      <w:r w:rsidR="005A20DE" w:rsidRPr="005A20DE">
        <w:rPr>
          <w:rFonts w:ascii="Arial" w:hAnsi="Arial" w:cs="Arial"/>
        </w:rPr>
        <w:t xml:space="preserve">% </w:t>
      </w:r>
      <w:r>
        <w:rPr>
          <w:rFonts w:ascii="Arial" w:hAnsi="Arial" w:cs="Arial"/>
        </w:rPr>
        <w:t xml:space="preserve">et 4,7 % </w:t>
      </w:r>
      <w:r w:rsidR="005A20DE" w:rsidRPr="005A20DE">
        <w:rPr>
          <w:rFonts w:ascii="Arial" w:hAnsi="Arial" w:cs="Arial"/>
        </w:rPr>
        <w:t xml:space="preserve">(cf. tableau </w:t>
      </w:r>
      <w:r w:rsidR="0049248B">
        <w:rPr>
          <w:rFonts w:ascii="Arial" w:hAnsi="Arial" w:cs="Arial"/>
        </w:rPr>
        <w:t>3</w:t>
      </w:r>
      <w:r w:rsidR="005A20DE" w:rsidRPr="005A20DE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les secondes </w:t>
      </w:r>
      <w:r w:rsidR="00C32E17">
        <w:rPr>
          <w:rFonts w:ascii="Arial" w:hAnsi="Arial" w:cs="Arial"/>
        </w:rPr>
        <w:t xml:space="preserve">commençant enfin à </w:t>
      </w:r>
      <w:r>
        <w:rPr>
          <w:rFonts w:ascii="Arial" w:hAnsi="Arial" w:cs="Arial"/>
        </w:rPr>
        <w:t>profit</w:t>
      </w:r>
      <w:r w:rsidR="00C32E17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</w:t>
      </w:r>
      <w:r w:rsidR="00CE0FFF">
        <w:rPr>
          <w:rFonts w:ascii="Arial" w:hAnsi="Arial" w:cs="Arial"/>
        </w:rPr>
        <w:t>d</w:t>
      </w:r>
      <w:r>
        <w:rPr>
          <w:rFonts w:ascii="Arial" w:hAnsi="Arial" w:cs="Arial"/>
        </w:rPr>
        <w:t>e la bonne tenue des premières</w:t>
      </w:r>
      <w:r w:rsidR="005A20DE" w:rsidRPr="005A20DE">
        <w:rPr>
          <w:rFonts w:ascii="Arial" w:hAnsi="Arial" w:cs="Arial"/>
        </w:rPr>
        <w:t>.</w:t>
      </w:r>
    </w:p>
    <w:p w14:paraId="0C330E8E" w14:textId="1F4C3409" w:rsidR="00CE38C6" w:rsidRDefault="00F06CC4" w:rsidP="00CE38C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Toutefois</w:t>
      </w:r>
      <w:r w:rsidR="006E579A">
        <w:rPr>
          <w:rFonts w:ascii="Arial" w:hAnsi="Arial" w:cs="Arial"/>
        </w:rPr>
        <w:t xml:space="preserve">, </w:t>
      </w:r>
      <w:r w:rsidR="00C32E17">
        <w:rPr>
          <w:rFonts w:ascii="Arial" w:hAnsi="Arial" w:cs="Arial"/>
        </w:rPr>
        <w:t>de fortes disparités perdure</w:t>
      </w:r>
      <w:r w:rsidR="00CE0FFF">
        <w:rPr>
          <w:rFonts w:ascii="Arial" w:hAnsi="Arial" w:cs="Arial"/>
        </w:rPr>
        <w:t>nt</w:t>
      </w:r>
      <w:r w:rsidR="00C32E17">
        <w:rPr>
          <w:rFonts w:ascii="Arial" w:hAnsi="Arial" w:cs="Arial"/>
        </w:rPr>
        <w:t xml:space="preserve"> en</w:t>
      </w:r>
      <w:r w:rsidR="006E579A">
        <w:rPr>
          <w:rFonts w:ascii="Arial" w:hAnsi="Arial" w:cs="Arial"/>
        </w:rPr>
        <w:t>t</w:t>
      </w:r>
      <w:r w:rsidR="00C32E17">
        <w:rPr>
          <w:rFonts w:ascii="Arial" w:hAnsi="Arial" w:cs="Arial"/>
        </w:rPr>
        <w:t xml:space="preserve">re segments. </w:t>
      </w:r>
      <w:r w:rsidR="005A20DE" w:rsidRPr="005A20DE">
        <w:rPr>
          <w:rFonts w:ascii="Arial" w:hAnsi="Arial" w:cs="Arial"/>
        </w:rPr>
        <w:t>Ainsi, les bâtiments industriels et assimilés ressortent largement en tête</w:t>
      </w:r>
      <w:r w:rsidR="00C32E17">
        <w:rPr>
          <w:rFonts w:ascii="Arial" w:hAnsi="Arial" w:cs="Arial"/>
        </w:rPr>
        <w:t>, leurs surfaces autorisées et mises en chantier s’affichant en hausses respectives de</w:t>
      </w:r>
      <w:r w:rsidR="005A20DE" w:rsidRPr="005A20DE">
        <w:rPr>
          <w:rFonts w:ascii="Arial" w:hAnsi="Arial" w:cs="Arial"/>
        </w:rPr>
        <w:t xml:space="preserve"> </w:t>
      </w:r>
      <w:r w:rsidR="00C32E17">
        <w:rPr>
          <w:rFonts w:ascii="Arial" w:hAnsi="Arial" w:cs="Arial"/>
        </w:rPr>
        <w:t>30,6 % et 20,5 %</w:t>
      </w:r>
      <w:r w:rsidR="005A20DE" w:rsidRPr="005A20DE">
        <w:rPr>
          <w:rFonts w:ascii="Arial" w:hAnsi="Arial" w:cs="Arial"/>
        </w:rPr>
        <w:t>, portés par les bâtiments logistiques (</w:t>
      </w:r>
      <w:r w:rsidR="00C32E17">
        <w:rPr>
          <w:rFonts w:ascii="Arial" w:hAnsi="Arial" w:cs="Arial"/>
        </w:rPr>
        <w:t xml:space="preserve">respectivement </w:t>
      </w:r>
      <w:r w:rsidR="00EB0EC9">
        <w:rPr>
          <w:rFonts w:ascii="Arial" w:hAnsi="Arial" w:cs="Arial"/>
        </w:rPr>
        <w:t>+53,0 </w:t>
      </w:r>
      <w:r w:rsidR="005A20DE" w:rsidRPr="005A20DE">
        <w:rPr>
          <w:rFonts w:ascii="Arial" w:hAnsi="Arial" w:cs="Arial"/>
        </w:rPr>
        <w:t>%</w:t>
      </w:r>
      <w:r w:rsidR="00C32E17">
        <w:rPr>
          <w:rFonts w:ascii="Arial" w:hAnsi="Arial" w:cs="Arial"/>
        </w:rPr>
        <w:t xml:space="preserve"> et +34,6 %</w:t>
      </w:r>
      <w:r w:rsidR="005A20DE" w:rsidRPr="005A20DE">
        <w:rPr>
          <w:rFonts w:ascii="Arial" w:hAnsi="Arial" w:cs="Arial"/>
        </w:rPr>
        <w:t>). Suivent, loin derrière, les bureaux</w:t>
      </w:r>
      <w:r w:rsidR="00EB0EC9">
        <w:rPr>
          <w:rFonts w:ascii="Arial" w:hAnsi="Arial" w:cs="Arial"/>
        </w:rPr>
        <w:t>,</w:t>
      </w:r>
      <w:r w:rsidR="005A20DE" w:rsidRPr="005A20DE">
        <w:rPr>
          <w:rFonts w:ascii="Arial" w:hAnsi="Arial" w:cs="Arial"/>
        </w:rPr>
        <w:t xml:space="preserve"> </w:t>
      </w:r>
      <w:r w:rsidR="00EB0EC9">
        <w:rPr>
          <w:rFonts w:ascii="Arial" w:hAnsi="Arial" w:cs="Arial"/>
        </w:rPr>
        <w:t>dont les</w:t>
      </w:r>
      <w:r w:rsidR="003A3C79">
        <w:rPr>
          <w:rFonts w:ascii="Arial" w:hAnsi="Arial" w:cs="Arial"/>
        </w:rPr>
        <w:t xml:space="preserve"> </w:t>
      </w:r>
      <w:r w:rsidR="00C32E17">
        <w:rPr>
          <w:rFonts w:ascii="Arial" w:hAnsi="Arial" w:cs="Arial"/>
        </w:rPr>
        <w:t xml:space="preserve">surfaces autorisées </w:t>
      </w:r>
      <w:r w:rsidR="00EB0EC9">
        <w:rPr>
          <w:rFonts w:ascii="Arial" w:hAnsi="Arial" w:cs="Arial"/>
        </w:rPr>
        <w:t xml:space="preserve">progressent </w:t>
      </w:r>
      <w:r w:rsidR="00C32E17">
        <w:rPr>
          <w:rFonts w:ascii="Arial" w:hAnsi="Arial" w:cs="Arial"/>
        </w:rPr>
        <w:t>(+6,8 %)</w:t>
      </w:r>
      <w:r w:rsidR="00EB0EC9">
        <w:rPr>
          <w:rFonts w:ascii="Arial" w:hAnsi="Arial" w:cs="Arial"/>
        </w:rPr>
        <w:t xml:space="preserve">, mais </w:t>
      </w:r>
      <w:r w:rsidR="003A3C79">
        <w:rPr>
          <w:rFonts w:ascii="Arial" w:hAnsi="Arial" w:cs="Arial"/>
        </w:rPr>
        <w:t>les</w:t>
      </w:r>
      <w:r w:rsidR="00C32E17">
        <w:rPr>
          <w:rFonts w:ascii="Arial" w:hAnsi="Arial" w:cs="Arial"/>
        </w:rPr>
        <w:t xml:space="preserve"> surfaces commencées</w:t>
      </w:r>
      <w:r w:rsidR="001C1129">
        <w:rPr>
          <w:rFonts w:ascii="Arial" w:hAnsi="Arial" w:cs="Arial"/>
        </w:rPr>
        <w:t xml:space="preserve"> </w:t>
      </w:r>
      <w:r w:rsidR="00EB0EC9">
        <w:rPr>
          <w:rFonts w:ascii="Arial" w:hAnsi="Arial" w:cs="Arial"/>
        </w:rPr>
        <w:t>se stabilisent</w:t>
      </w:r>
      <w:r w:rsidR="00844845">
        <w:rPr>
          <w:rFonts w:ascii="Arial" w:hAnsi="Arial" w:cs="Arial"/>
        </w:rPr>
        <w:t xml:space="preserve"> tout juste</w:t>
      </w:r>
      <w:r w:rsidR="00EB0EC9">
        <w:rPr>
          <w:rFonts w:ascii="Arial" w:hAnsi="Arial" w:cs="Arial"/>
        </w:rPr>
        <w:t xml:space="preserve"> </w:t>
      </w:r>
      <w:r w:rsidR="00C32E17">
        <w:rPr>
          <w:rFonts w:ascii="Arial" w:hAnsi="Arial" w:cs="Arial"/>
        </w:rPr>
        <w:t>(+0,2 %). Quant aux commerces et bâtiments administratifs, ils restent déprimés.</w:t>
      </w:r>
    </w:p>
    <w:p w14:paraId="4974FFE1" w14:textId="77777777" w:rsidR="00844845" w:rsidRDefault="00844845" w:rsidP="00844845">
      <w:pPr>
        <w:pStyle w:val="Sansinterligne"/>
      </w:pPr>
    </w:p>
    <w:p w14:paraId="63BD8689" w14:textId="3D4C8E9D" w:rsidR="0000025A" w:rsidRDefault="0000025A" w:rsidP="0000025A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Tableau 3 </w:t>
      </w:r>
      <w:r w:rsidRPr="009B1AD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20BC">
        <w:rPr>
          <w:rFonts w:ascii="Arial" w:hAnsi="Arial" w:cs="Arial"/>
          <w:b/>
        </w:rPr>
        <w:t xml:space="preserve">Évolutions </w:t>
      </w:r>
      <w:r w:rsidRPr="00361390">
        <w:rPr>
          <w:rFonts w:ascii="Arial" w:hAnsi="Arial" w:cs="Arial"/>
        </w:rPr>
        <w:t>(en %, en glissement annuel)</w:t>
      </w:r>
      <w:r>
        <w:rPr>
          <w:rFonts w:ascii="Arial" w:hAnsi="Arial" w:cs="Arial"/>
          <w:b/>
        </w:rPr>
        <w:t xml:space="preserve"> du non résidentiel neuf</w:t>
      </w:r>
      <w:r>
        <w:rPr>
          <w:rStyle w:val="Appelnotedebasdep"/>
          <w:rFonts w:ascii="Arial" w:hAnsi="Arial" w:cs="Arial"/>
          <w:b/>
        </w:rPr>
        <w:footnoteReference w:id="3"/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</w:r>
      <w:r w:rsidRPr="009E49AE">
        <w:rPr>
          <w:rFonts w:ascii="Arial" w:hAnsi="Arial" w:cs="Arial"/>
        </w:rPr>
        <w:t>(hors locaux agricoles)</w:t>
      </w:r>
    </w:p>
    <w:tbl>
      <w:tblPr>
        <w:tblStyle w:val="Grilledutableau"/>
        <w:tblW w:w="90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12"/>
        <w:gridCol w:w="1386"/>
        <w:gridCol w:w="1386"/>
        <w:gridCol w:w="1480"/>
        <w:gridCol w:w="1559"/>
        <w:gridCol w:w="1119"/>
      </w:tblGrid>
      <w:tr w:rsidR="005A20DE" w14:paraId="737037BA" w14:textId="77777777" w:rsidTr="006B33CC">
        <w:tc>
          <w:tcPr>
            <w:tcW w:w="2112" w:type="dxa"/>
          </w:tcPr>
          <w:p w14:paraId="1210BE0B" w14:textId="77777777" w:rsidR="005A20DE" w:rsidRDefault="005A20DE" w:rsidP="006B33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386" w:type="dxa"/>
          </w:tcPr>
          <w:p w14:paraId="2757659E" w14:textId="77777777" w:rsidR="005A20DE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Bâtiments</w:t>
            </w:r>
          </w:p>
          <w:p w14:paraId="5EE22C06" w14:textId="77777777" w:rsidR="005A20DE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industriels et assimilés</w:t>
            </w:r>
          </w:p>
        </w:tc>
        <w:tc>
          <w:tcPr>
            <w:tcW w:w="1386" w:type="dxa"/>
          </w:tcPr>
          <w:p w14:paraId="25BFC2EA" w14:textId="77777777" w:rsidR="005A20DE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Bureaux</w:t>
            </w:r>
          </w:p>
        </w:tc>
        <w:tc>
          <w:tcPr>
            <w:tcW w:w="1480" w:type="dxa"/>
          </w:tcPr>
          <w:p w14:paraId="48A55197" w14:textId="77777777" w:rsidR="005A20DE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Commerces</w:t>
            </w:r>
          </w:p>
        </w:tc>
        <w:tc>
          <w:tcPr>
            <w:tcW w:w="1559" w:type="dxa"/>
          </w:tcPr>
          <w:p w14:paraId="0937EBBF" w14:textId="77777777" w:rsidR="005A20DE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Bâtiments administratifs</w:t>
            </w:r>
          </w:p>
        </w:tc>
        <w:tc>
          <w:tcPr>
            <w:tcW w:w="1119" w:type="dxa"/>
          </w:tcPr>
          <w:p w14:paraId="415BA25A" w14:textId="77777777" w:rsidR="005A20DE" w:rsidRPr="00B75464" w:rsidRDefault="005A20DE" w:rsidP="006B33CC">
            <w:pPr>
              <w:jc w:val="center"/>
              <w:rPr>
                <w:rFonts w:ascii="Arial" w:hAnsi="Arial" w:cs="Arial"/>
              </w:rPr>
            </w:pPr>
            <w:r w:rsidRPr="00B75464">
              <w:rPr>
                <w:rFonts w:ascii="Arial" w:hAnsi="Arial" w:cs="Arial"/>
              </w:rPr>
              <w:t>Total</w:t>
            </w:r>
          </w:p>
        </w:tc>
      </w:tr>
      <w:tr w:rsidR="005A20DE" w14:paraId="0A5E8319" w14:textId="77777777" w:rsidTr="006B33CC">
        <w:tc>
          <w:tcPr>
            <w:tcW w:w="9042" w:type="dxa"/>
            <w:gridSpan w:val="6"/>
          </w:tcPr>
          <w:p w14:paraId="3316BD07" w14:textId="77777777" w:rsidR="005A20DE" w:rsidRPr="005763E8" w:rsidRDefault="005A20DE" w:rsidP="006B33CC">
            <w:pPr>
              <w:rPr>
                <w:rFonts w:ascii="Arial" w:hAnsi="Arial" w:cs="Arial"/>
              </w:rPr>
            </w:pPr>
          </w:p>
        </w:tc>
      </w:tr>
      <w:tr w:rsidR="005A20DE" w14:paraId="08F0A4C1" w14:textId="77777777" w:rsidTr="006B33CC">
        <w:tc>
          <w:tcPr>
            <w:tcW w:w="9042" w:type="dxa"/>
            <w:gridSpan w:val="6"/>
            <w:tcBorders>
              <w:bottom w:val="single" w:sz="2" w:space="0" w:color="000000"/>
            </w:tcBorders>
          </w:tcPr>
          <w:p w14:paraId="66D8097B" w14:textId="77777777" w:rsidR="005A20DE" w:rsidRPr="00204877" w:rsidRDefault="005A20DE" w:rsidP="006B33CC">
            <w:pPr>
              <w:jc w:val="center"/>
              <w:rPr>
                <w:rFonts w:ascii="Arial" w:hAnsi="Arial" w:cs="Arial"/>
                <w:i/>
              </w:rPr>
            </w:pPr>
            <w:r w:rsidRPr="00C82B89">
              <w:rPr>
                <w:rFonts w:ascii="Arial" w:hAnsi="Arial" w:cs="Arial"/>
                <w:i/>
              </w:rPr>
              <w:t xml:space="preserve">Sur </w:t>
            </w:r>
            <w:r>
              <w:rPr>
                <w:rFonts w:ascii="Arial" w:hAnsi="Arial" w:cs="Arial"/>
                <w:i/>
              </w:rPr>
              <w:t xml:space="preserve">trois </w:t>
            </w:r>
            <w:r w:rsidRPr="00C82B89">
              <w:rPr>
                <w:rFonts w:ascii="Arial" w:hAnsi="Arial" w:cs="Arial"/>
                <w:i/>
              </w:rPr>
              <w:t>mois (</w:t>
            </w:r>
            <w:r>
              <w:rPr>
                <w:rFonts w:ascii="Arial" w:hAnsi="Arial" w:cs="Arial"/>
                <w:i/>
              </w:rPr>
              <w:t>mai</w:t>
            </w:r>
            <w:r w:rsidRPr="00C82B89">
              <w:rPr>
                <w:rFonts w:ascii="Arial" w:hAnsi="Arial" w:cs="Arial"/>
                <w:i/>
              </w:rPr>
              <w:t xml:space="preserve"> 2019 → </w:t>
            </w:r>
            <w:r>
              <w:rPr>
                <w:rFonts w:ascii="Arial" w:hAnsi="Arial" w:cs="Arial"/>
                <w:i/>
              </w:rPr>
              <w:t xml:space="preserve">juil. </w:t>
            </w:r>
            <w:r w:rsidRPr="00C82B89">
              <w:rPr>
                <w:rFonts w:ascii="Arial" w:hAnsi="Arial" w:cs="Arial"/>
                <w:i/>
              </w:rPr>
              <w:t xml:space="preserve">2019 / </w:t>
            </w:r>
            <w:r>
              <w:rPr>
                <w:rFonts w:ascii="Arial" w:hAnsi="Arial" w:cs="Arial"/>
                <w:i/>
              </w:rPr>
              <w:t>mai</w:t>
            </w:r>
            <w:r w:rsidRPr="00C82B89">
              <w:rPr>
                <w:rFonts w:ascii="Arial" w:hAnsi="Arial" w:cs="Arial"/>
                <w:i/>
              </w:rPr>
              <w:t xml:space="preserve"> 2018 → </w:t>
            </w:r>
            <w:r>
              <w:rPr>
                <w:rFonts w:ascii="Arial" w:hAnsi="Arial" w:cs="Arial"/>
                <w:i/>
              </w:rPr>
              <w:t>juil.</w:t>
            </w:r>
            <w:r w:rsidRPr="00C82B89">
              <w:rPr>
                <w:rFonts w:ascii="Arial" w:hAnsi="Arial" w:cs="Arial"/>
                <w:i/>
              </w:rPr>
              <w:t xml:space="preserve"> 2018)</w:t>
            </w:r>
          </w:p>
        </w:tc>
      </w:tr>
      <w:tr w:rsidR="005A20DE" w14:paraId="6F53898F" w14:textId="77777777" w:rsidTr="006B33CC">
        <w:tc>
          <w:tcPr>
            <w:tcW w:w="2112" w:type="dxa"/>
            <w:tcBorders>
              <w:top w:val="single" w:sz="2" w:space="0" w:color="000000"/>
              <w:bottom w:val="dashSmallGap" w:sz="4" w:space="0" w:color="000000"/>
            </w:tcBorders>
          </w:tcPr>
          <w:p w14:paraId="12ED3743" w14:textId="77777777" w:rsidR="005A20DE" w:rsidRPr="00204877" w:rsidRDefault="005A20DE" w:rsidP="006B33CC">
            <w:pPr>
              <w:jc w:val="both"/>
              <w:rPr>
                <w:rFonts w:ascii="Arial" w:hAnsi="Arial" w:cs="Arial"/>
              </w:rPr>
            </w:pPr>
            <w:r w:rsidRPr="00C82B89">
              <w:rPr>
                <w:rFonts w:ascii="Arial" w:hAnsi="Arial" w:cs="Arial"/>
              </w:rPr>
              <w:t>Autorisations</w:t>
            </w:r>
          </w:p>
        </w:tc>
        <w:tc>
          <w:tcPr>
            <w:tcW w:w="1386" w:type="dxa"/>
            <w:tcBorders>
              <w:top w:val="single" w:sz="2" w:space="0" w:color="000000"/>
              <w:bottom w:val="dashSmallGap" w:sz="4" w:space="0" w:color="000000"/>
            </w:tcBorders>
          </w:tcPr>
          <w:p w14:paraId="316DD331" w14:textId="77777777" w:rsidR="005A20DE" w:rsidRPr="00204877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+30,7 %</w:t>
            </w:r>
          </w:p>
        </w:tc>
        <w:tc>
          <w:tcPr>
            <w:tcW w:w="1386" w:type="dxa"/>
            <w:tcBorders>
              <w:top w:val="single" w:sz="2" w:space="0" w:color="000000"/>
              <w:bottom w:val="dashSmallGap" w:sz="4" w:space="0" w:color="000000"/>
            </w:tcBorders>
          </w:tcPr>
          <w:p w14:paraId="5D4BCE13" w14:textId="77777777" w:rsidR="005A20DE" w:rsidRPr="00204877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+26,7 %</w:t>
            </w:r>
          </w:p>
        </w:tc>
        <w:tc>
          <w:tcPr>
            <w:tcW w:w="1480" w:type="dxa"/>
            <w:tcBorders>
              <w:top w:val="single" w:sz="2" w:space="0" w:color="000000"/>
              <w:bottom w:val="dashSmallGap" w:sz="4" w:space="0" w:color="000000"/>
            </w:tcBorders>
          </w:tcPr>
          <w:p w14:paraId="402D8F7C" w14:textId="77777777" w:rsidR="005A20DE" w:rsidRPr="00204877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+5,8 %</w:t>
            </w:r>
          </w:p>
        </w:tc>
        <w:tc>
          <w:tcPr>
            <w:tcW w:w="1559" w:type="dxa"/>
            <w:tcBorders>
              <w:top w:val="single" w:sz="2" w:space="0" w:color="000000"/>
              <w:bottom w:val="dashSmallGap" w:sz="4" w:space="0" w:color="000000"/>
            </w:tcBorders>
          </w:tcPr>
          <w:p w14:paraId="2EE6670F" w14:textId="77777777" w:rsidR="005A20DE" w:rsidRPr="00204877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+18,3 %</w:t>
            </w:r>
          </w:p>
        </w:tc>
        <w:tc>
          <w:tcPr>
            <w:tcW w:w="1119" w:type="dxa"/>
            <w:tcBorders>
              <w:top w:val="single" w:sz="2" w:space="0" w:color="000000"/>
              <w:bottom w:val="dashSmallGap" w:sz="4" w:space="0" w:color="000000"/>
            </w:tcBorders>
          </w:tcPr>
          <w:p w14:paraId="580C6A36" w14:textId="77777777" w:rsidR="005A20DE" w:rsidRPr="00204877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+23,0 %</w:t>
            </w:r>
          </w:p>
        </w:tc>
      </w:tr>
      <w:tr w:rsidR="005A20DE" w14:paraId="02011F99" w14:textId="77777777" w:rsidTr="006B33CC">
        <w:tc>
          <w:tcPr>
            <w:tcW w:w="2112" w:type="dxa"/>
            <w:tcBorders>
              <w:top w:val="dashSmallGap" w:sz="4" w:space="0" w:color="000000"/>
              <w:bottom w:val="single" w:sz="2" w:space="0" w:color="000000"/>
            </w:tcBorders>
          </w:tcPr>
          <w:p w14:paraId="72D11B06" w14:textId="77777777" w:rsidR="005A20DE" w:rsidRPr="00204877" w:rsidRDefault="005A20DE" w:rsidP="006B33CC">
            <w:pPr>
              <w:jc w:val="both"/>
              <w:rPr>
                <w:rFonts w:ascii="Arial" w:hAnsi="Arial" w:cs="Arial"/>
              </w:rPr>
            </w:pPr>
            <w:r w:rsidRPr="00C82B89">
              <w:rPr>
                <w:rFonts w:ascii="Arial" w:hAnsi="Arial" w:cs="Arial"/>
              </w:rPr>
              <w:t>Mises en chantier</w:t>
            </w:r>
          </w:p>
        </w:tc>
        <w:tc>
          <w:tcPr>
            <w:tcW w:w="1386" w:type="dxa"/>
            <w:tcBorders>
              <w:top w:val="dashSmallGap" w:sz="4" w:space="0" w:color="000000"/>
              <w:bottom w:val="single" w:sz="2" w:space="0" w:color="000000"/>
            </w:tcBorders>
          </w:tcPr>
          <w:p w14:paraId="5B069A8E" w14:textId="77777777" w:rsidR="005A20DE" w:rsidRPr="00204877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+19,2 %</w:t>
            </w:r>
          </w:p>
        </w:tc>
        <w:tc>
          <w:tcPr>
            <w:tcW w:w="1386" w:type="dxa"/>
            <w:tcBorders>
              <w:top w:val="dashSmallGap" w:sz="4" w:space="0" w:color="000000"/>
              <w:bottom w:val="single" w:sz="2" w:space="0" w:color="000000"/>
            </w:tcBorders>
          </w:tcPr>
          <w:p w14:paraId="276430A6" w14:textId="77777777" w:rsidR="005A20DE" w:rsidRPr="00204877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+11,1 %</w:t>
            </w:r>
          </w:p>
        </w:tc>
        <w:tc>
          <w:tcPr>
            <w:tcW w:w="1480" w:type="dxa"/>
            <w:tcBorders>
              <w:top w:val="dashSmallGap" w:sz="4" w:space="0" w:color="000000"/>
              <w:bottom w:val="single" w:sz="2" w:space="0" w:color="000000"/>
            </w:tcBorders>
          </w:tcPr>
          <w:p w14:paraId="49AB1BD5" w14:textId="77777777" w:rsidR="005A20DE" w:rsidRPr="00204877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-1,8 %</w:t>
            </w:r>
          </w:p>
        </w:tc>
        <w:tc>
          <w:tcPr>
            <w:tcW w:w="1559" w:type="dxa"/>
            <w:tcBorders>
              <w:top w:val="dashSmallGap" w:sz="4" w:space="0" w:color="000000"/>
              <w:bottom w:val="single" w:sz="2" w:space="0" w:color="000000"/>
            </w:tcBorders>
          </w:tcPr>
          <w:p w14:paraId="445797D1" w14:textId="77777777" w:rsidR="005A20DE" w:rsidRPr="00204877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-9,8 %</w:t>
            </w:r>
          </w:p>
        </w:tc>
        <w:tc>
          <w:tcPr>
            <w:tcW w:w="1119" w:type="dxa"/>
            <w:tcBorders>
              <w:top w:val="dashSmallGap" w:sz="4" w:space="0" w:color="000000"/>
              <w:bottom w:val="single" w:sz="2" w:space="0" w:color="000000"/>
            </w:tcBorders>
          </w:tcPr>
          <w:p w14:paraId="6F67F3CE" w14:textId="77777777" w:rsidR="005A20DE" w:rsidRPr="00204877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+6,9 %</w:t>
            </w:r>
          </w:p>
        </w:tc>
      </w:tr>
      <w:tr w:rsidR="005A20DE" w14:paraId="49A21A00" w14:textId="77777777" w:rsidTr="006B33CC">
        <w:tc>
          <w:tcPr>
            <w:tcW w:w="9042" w:type="dxa"/>
            <w:gridSpan w:val="6"/>
            <w:tcBorders>
              <w:top w:val="single" w:sz="2" w:space="0" w:color="000000"/>
            </w:tcBorders>
          </w:tcPr>
          <w:p w14:paraId="0025EA81" w14:textId="77777777" w:rsidR="005A20DE" w:rsidRPr="005763E8" w:rsidRDefault="005A20DE" w:rsidP="006B33CC">
            <w:pPr>
              <w:jc w:val="center"/>
              <w:rPr>
                <w:rFonts w:ascii="Arial" w:hAnsi="Arial" w:cs="Arial"/>
              </w:rPr>
            </w:pPr>
          </w:p>
        </w:tc>
      </w:tr>
      <w:tr w:rsidR="005A20DE" w14:paraId="3C889B01" w14:textId="77777777" w:rsidTr="006B33CC">
        <w:tc>
          <w:tcPr>
            <w:tcW w:w="9042" w:type="dxa"/>
            <w:gridSpan w:val="6"/>
            <w:tcBorders>
              <w:bottom w:val="single" w:sz="2" w:space="0" w:color="000000"/>
            </w:tcBorders>
          </w:tcPr>
          <w:p w14:paraId="6ACC593E" w14:textId="66B2C4C2" w:rsidR="005A20DE" w:rsidRPr="00DA229C" w:rsidRDefault="005A20DE" w:rsidP="002B4937">
            <w:pPr>
              <w:jc w:val="center"/>
              <w:rPr>
                <w:rFonts w:ascii="Arial" w:hAnsi="Arial" w:cs="Arial"/>
                <w:i/>
              </w:rPr>
            </w:pPr>
            <w:r w:rsidRPr="004E3507">
              <w:rPr>
                <w:rFonts w:ascii="Arial" w:hAnsi="Arial" w:cs="Arial"/>
                <w:i/>
              </w:rPr>
              <w:t>Sur six mois (</w:t>
            </w:r>
            <w:r>
              <w:rPr>
                <w:rFonts w:ascii="Arial" w:hAnsi="Arial" w:cs="Arial"/>
                <w:i/>
              </w:rPr>
              <w:t>fév.</w:t>
            </w:r>
            <w:r w:rsidRPr="004E3507">
              <w:rPr>
                <w:rFonts w:ascii="Arial" w:hAnsi="Arial" w:cs="Arial"/>
                <w:i/>
              </w:rPr>
              <w:t xml:space="preserve"> 201</w:t>
            </w:r>
            <w:r w:rsidR="002B4937">
              <w:rPr>
                <w:rFonts w:ascii="Arial" w:hAnsi="Arial" w:cs="Arial"/>
                <w:i/>
              </w:rPr>
              <w:t>9</w:t>
            </w:r>
            <w:r w:rsidRPr="004E3507">
              <w:rPr>
                <w:rFonts w:ascii="Arial" w:hAnsi="Arial" w:cs="Arial"/>
                <w:i/>
              </w:rPr>
              <w:t xml:space="preserve"> → </w:t>
            </w:r>
            <w:r>
              <w:rPr>
                <w:rFonts w:ascii="Arial" w:hAnsi="Arial" w:cs="Arial"/>
                <w:i/>
              </w:rPr>
              <w:t>juil. 2</w:t>
            </w:r>
            <w:r w:rsidRPr="004E3507">
              <w:rPr>
                <w:rFonts w:ascii="Arial" w:hAnsi="Arial" w:cs="Arial"/>
                <w:i/>
              </w:rPr>
              <w:t>01</w:t>
            </w:r>
            <w:r>
              <w:rPr>
                <w:rFonts w:ascii="Arial" w:hAnsi="Arial" w:cs="Arial"/>
                <w:i/>
              </w:rPr>
              <w:t>9</w:t>
            </w:r>
            <w:r w:rsidRPr="004E3507">
              <w:rPr>
                <w:rFonts w:ascii="Arial" w:hAnsi="Arial" w:cs="Arial"/>
                <w:i/>
              </w:rPr>
              <w:t xml:space="preserve"> / </w:t>
            </w:r>
            <w:r>
              <w:rPr>
                <w:rFonts w:ascii="Arial" w:hAnsi="Arial" w:cs="Arial"/>
                <w:i/>
              </w:rPr>
              <w:t xml:space="preserve">fév. </w:t>
            </w:r>
            <w:r w:rsidRPr="004E3507">
              <w:rPr>
                <w:rFonts w:ascii="Arial" w:hAnsi="Arial" w:cs="Arial"/>
                <w:i/>
              </w:rPr>
              <w:t>201</w:t>
            </w:r>
            <w:r>
              <w:rPr>
                <w:rFonts w:ascii="Arial" w:hAnsi="Arial" w:cs="Arial"/>
                <w:i/>
              </w:rPr>
              <w:t>8</w:t>
            </w:r>
            <w:r w:rsidRPr="004E3507">
              <w:rPr>
                <w:rFonts w:ascii="Arial" w:hAnsi="Arial" w:cs="Arial"/>
                <w:i/>
              </w:rPr>
              <w:t xml:space="preserve"> → </w:t>
            </w:r>
            <w:r>
              <w:rPr>
                <w:rFonts w:ascii="Arial" w:hAnsi="Arial" w:cs="Arial"/>
                <w:i/>
              </w:rPr>
              <w:t xml:space="preserve">juil. </w:t>
            </w:r>
            <w:r w:rsidRPr="004E3507">
              <w:rPr>
                <w:rFonts w:ascii="Arial" w:hAnsi="Arial" w:cs="Arial"/>
                <w:i/>
              </w:rPr>
              <w:t>201</w:t>
            </w:r>
            <w:r>
              <w:rPr>
                <w:rFonts w:ascii="Arial" w:hAnsi="Arial" w:cs="Arial"/>
                <w:i/>
              </w:rPr>
              <w:t>8</w:t>
            </w:r>
            <w:r w:rsidRPr="004E3507">
              <w:rPr>
                <w:rFonts w:ascii="Arial" w:hAnsi="Arial" w:cs="Arial"/>
                <w:i/>
              </w:rPr>
              <w:t>)</w:t>
            </w:r>
          </w:p>
        </w:tc>
      </w:tr>
      <w:tr w:rsidR="005A20DE" w14:paraId="28941F83" w14:textId="77777777" w:rsidTr="006B33CC">
        <w:tc>
          <w:tcPr>
            <w:tcW w:w="2112" w:type="dxa"/>
            <w:tcBorders>
              <w:top w:val="single" w:sz="2" w:space="0" w:color="000000"/>
              <w:bottom w:val="dashSmallGap" w:sz="4" w:space="0" w:color="000000"/>
            </w:tcBorders>
          </w:tcPr>
          <w:p w14:paraId="5FAF5C63" w14:textId="77777777" w:rsidR="005A20DE" w:rsidRPr="005763E8" w:rsidRDefault="005A20DE" w:rsidP="006B33CC">
            <w:pPr>
              <w:jc w:val="both"/>
              <w:rPr>
                <w:rFonts w:ascii="Arial" w:hAnsi="Arial" w:cs="Arial"/>
              </w:rPr>
            </w:pPr>
            <w:r w:rsidRPr="004E3507">
              <w:rPr>
                <w:rFonts w:ascii="Arial" w:hAnsi="Arial" w:cs="Arial"/>
              </w:rPr>
              <w:t>Autorisations</w:t>
            </w:r>
          </w:p>
        </w:tc>
        <w:tc>
          <w:tcPr>
            <w:tcW w:w="1386" w:type="dxa"/>
            <w:tcBorders>
              <w:top w:val="single" w:sz="2" w:space="0" w:color="000000"/>
              <w:bottom w:val="dashSmallGap" w:sz="4" w:space="0" w:color="000000"/>
            </w:tcBorders>
          </w:tcPr>
          <w:p w14:paraId="657838CD" w14:textId="77777777" w:rsidR="005A20DE" w:rsidRPr="005763E8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+29,4 %</w:t>
            </w:r>
          </w:p>
        </w:tc>
        <w:tc>
          <w:tcPr>
            <w:tcW w:w="1386" w:type="dxa"/>
            <w:tcBorders>
              <w:top w:val="single" w:sz="2" w:space="0" w:color="000000"/>
              <w:bottom w:val="dashSmallGap" w:sz="4" w:space="0" w:color="000000"/>
            </w:tcBorders>
          </w:tcPr>
          <w:p w14:paraId="5027ED75" w14:textId="77777777" w:rsidR="005A20DE" w:rsidRPr="005763E8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+9,8 %</w:t>
            </w:r>
          </w:p>
        </w:tc>
        <w:tc>
          <w:tcPr>
            <w:tcW w:w="1480" w:type="dxa"/>
            <w:tcBorders>
              <w:top w:val="single" w:sz="2" w:space="0" w:color="000000"/>
              <w:bottom w:val="dashSmallGap" w:sz="4" w:space="0" w:color="000000"/>
            </w:tcBorders>
          </w:tcPr>
          <w:p w14:paraId="26CD8B4E" w14:textId="77777777" w:rsidR="005A20DE" w:rsidRPr="005763E8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+0,8 %</w:t>
            </w:r>
          </w:p>
        </w:tc>
        <w:tc>
          <w:tcPr>
            <w:tcW w:w="1559" w:type="dxa"/>
            <w:tcBorders>
              <w:top w:val="single" w:sz="2" w:space="0" w:color="000000"/>
              <w:bottom w:val="dashSmallGap" w:sz="4" w:space="0" w:color="000000"/>
            </w:tcBorders>
          </w:tcPr>
          <w:p w14:paraId="3665F518" w14:textId="77777777" w:rsidR="005A20DE" w:rsidRPr="005763E8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-1,5 %</w:t>
            </w:r>
          </w:p>
        </w:tc>
        <w:tc>
          <w:tcPr>
            <w:tcW w:w="1119" w:type="dxa"/>
            <w:tcBorders>
              <w:top w:val="single" w:sz="2" w:space="0" w:color="000000"/>
              <w:bottom w:val="dashSmallGap" w:sz="4" w:space="0" w:color="000000"/>
            </w:tcBorders>
          </w:tcPr>
          <w:p w14:paraId="007877AF" w14:textId="77777777" w:rsidR="005A20DE" w:rsidRPr="00B75464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+14,8 %</w:t>
            </w:r>
          </w:p>
        </w:tc>
      </w:tr>
      <w:tr w:rsidR="005A20DE" w14:paraId="019A0224" w14:textId="77777777" w:rsidTr="006B33CC">
        <w:tc>
          <w:tcPr>
            <w:tcW w:w="2112" w:type="dxa"/>
            <w:tcBorders>
              <w:top w:val="dashSmallGap" w:sz="4" w:space="0" w:color="000000"/>
              <w:bottom w:val="single" w:sz="2" w:space="0" w:color="000000"/>
            </w:tcBorders>
          </w:tcPr>
          <w:p w14:paraId="55899B23" w14:textId="77777777" w:rsidR="005A20DE" w:rsidRPr="005763E8" w:rsidRDefault="005A20DE" w:rsidP="006B33CC">
            <w:pPr>
              <w:jc w:val="both"/>
              <w:rPr>
                <w:rFonts w:ascii="Arial" w:hAnsi="Arial" w:cs="Arial"/>
              </w:rPr>
            </w:pPr>
            <w:r w:rsidRPr="004E3507">
              <w:rPr>
                <w:rFonts w:ascii="Arial" w:hAnsi="Arial" w:cs="Arial"/>
              </w:rPr>
              <w:t>Mises en chantier</w:t>
            </w:r>
          </w:p>
        </w:tc>
        <w:tc>
          <w:tcPr>
            <w:tcW w:w="1386" w:type="dxa"/>
            <w:tcBorders>
              <w:top w:val="dashSmallGap" w:sz="4" w:space="0" w:color="000000"/>
              <w:bottom w:val="single" w:sz="2" w:space="0" w:color="000000"/>
            </w:tcBorders>
          </w:tcPr>
          <w:p w14:paraId="1B117C0D" w14:textId="77777777" w:rsidR="005A20DE" w:rsidRPr="005763E8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+20,9 %</w:t>
            </w:r>
          </w:p>
        </w:tc>
        <w:tc>
          <w:tcPr>
            <w:tcW w:w="1386" w:type="dxa"/>
            <w:tcBorders>
              <w:top w:val="dashSmallGap" w:sz="4" w:space="0" w:color="000000"/>
              <w:bottom w:val="single" w:sz="2" w:space="0" w:color="000000"/>
            </w:tcBorders>
          </w:tcPr>
          <w:p w14:paraId="08D0B0EE" w14:textId="77777777" w:rsidR="005A20DE" w:rsidRPr="005763E8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-5,2 %</w:t>
            </w:r>
          </w:p>
        </w:tc>
        <w:tc>
          <w:tcPr>
            <w:tcW w:w="1480" w:type="dxa"/>
            <w:tcBorders>
              <w:top w:val="dashSmallGap" w:sz="4" w:space="0" w:color="000000"/>
              <w:bottom w:val="single" w:sz="2" w:space="0" w:color="000000"/>
            </w:tcBorders>
          </w:tcPr>
          <w:p w14:paraId="49204266" w14:textId="77777777" w:rsidR="005A20DE" w:rsidRPr="005763E8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-7,0 %</w:t>
            </w:r>
          </w:p>
        </w:tc>
        <w:tc>
          <w:tcPr>
            <w:tcW w:w="1559" w:type="dxa"/>
            <w:tcBorders>
              <w:top w:val="dashSmallGap" w:sz="4" w:space="0" w:color="000000"/>
              <w:bottom w:val="single" w:sz="2" w:space="0" w:color="000000"/>
            </w:tcBorders>
          </w:tcPr>
          <w:p w14:paraId="75A015C6" w14:textId="77777777" w:rsidR="005A20DE" w:rsidRPr="005763E8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-9,0 %</w:t>
            </w:r>
          </w:p>
        </w:tc>
        <w:tc>
          <w:tcPr>
            <w:tcW w:w="1119" w:type="dxa"/>
            <w:tcBorders>
              <w:top w:val="dashSmallGap" w:sz="4" w:space="0" w:color="000000"/>
              <w:bottom w:val="single" w:sz="2" w:space="0" w:color="000000"/>
            </w:tcBorders>
          </w:tcPr>
          <w:p w14:paraId="19703B27" w14:textId="77777777" w:rsidR="005A20DE" w:rsidRPr="00B75464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+4,2 %</w:t>
            </w:r>
          </w:p>
        </w:tc>
      </w:tr>
      <w:tr w:rsidR="005A20DE" w14:paraId="1362867F" w14:textId="77777777" w:rsidTr="006B33CC">
        <w:tc>
          <w:tcPr>
            <w:tcW w:w="9042" w:type="dxa"/>
            <w:gridSpan w:val="6"/>
            <w:tcBorders>
              <w:top w:val="single" w:sz="2" w:space="0" w:color="000000"/>
            </w:tcBorders>
          </w:tcPr>
          <w:p w14:paraId="0C50D0AF" w14:textId="77777777" w:rsidR="005A20DE" w:rsidRPr="005763E8" w:rsidRDefault="005A20DE" w:rsidP="006B33CC">
            <w:pPr>
              <w:jc w:val="center"/>
              <w:rPr>
                <w:rFonts w:ascii="Arial" w:hAnsi="Arial" w:cs="Arial"/>
              </w:rPr>
            </w:pPr>
          </w:p>
        </w:tc>
      </w:tr>
      <w:tr w:rsidR="005A20DE" w14:paraId="1A8FAF75" w14:textId="77777777" w:rsidTr="006B33CC">
        <w:tc>
          <w:tcPr>
            <w:tcW w:w="9042" w:type="dxa"/>
            <w:gridSpan w:val="6"/>
            <w:tcBorders>
              <w:bottom w:val="single" w:sz="2" w:space="0" w:color="000000"/>
            </w:tcBorders>
          </w:tcPr>
          <w:p w14:paraId="45CE689A" w14:textId="77777777" w:rsidR="005A20DE" w:rsidRPr="00585F83" w:rsidRDefault="005A20DE" w:rsidP="006B33CC">
            <w:pPr>
              <w:jc w:val="center"/>
              <w:rPr>
                <w:rFonts w:ascii="Arial" w:hAnsi="Arial" w:cs="Arial"/>
                <w:b/>
                <w:i/>
              </w:rPr>
            </w:pPr>
            <w:r w:rsidRPr="00391133">
              <w:rPr>
                <w:rFonts w:ascii="Arial" w:hAnsi="Arial" w:cs="Arial"/>
                <w:b/>
                <w:i/>
              </w:rPr>
              <w:t xml:space="preserve">Sur </w:t>
            </w:r>
            <w:r>
              <w:rPr>
                <w:rFonts w:ascii="Arial" w:hAnsi="Arial" w:cs="Arial"/>
                <w:b/>
                <w:i/>
              </w:rPr>
              <w:t>sept</w:t>
            </w:r>
            <w:r w:rsidRPr="00391133">
              <w:rPr>
                <w:rFonts w:ascii="Arial" w:hAnsi="Arial" w:cs="Arial"/>
                <w:b/>
                <w:i/>
              </w:rPr>
              <w:t xml:space="preserve"> mois (</w:t>
            </w:r>
            <w:r>
              <w:rPr>
                <w:rFonts w:ascii="Arial" w:hAnsi="Arial" w:cs="Arial"/>
                <w:b/>
                <w:i/>
              </w:rPr>
              <w:t>jan</w:t>
            </w:r>
            <w:r w:rsidRPr="00391133">
              <w:rPr>
                <w:rFonts w:ascii="Arial" w:hAnsi="Arial" w:cs="Arial"/>
                <w:b/>
                <w:i/>
              </w:rPr>
              <w:t>. 201</w:t>
            </w:r>
            <w:r>
              <w:rPr>
                <w:rFonts w:ascii="Arial" w:hAnsi="Arial" w:cs="Arial"/>
                <w:b/>
                <w:i/>
              </w:rPr>
              <w:t>9</w:t>
            </w:r>
            <w:r w:rsidRPr="00391133">
              <w:rPr>
                <w:rFonts w:ascii="Arial" w:hAnsi="Arial" w:cs="Arial"/>
                <w:b/>
                <w:i/>
              </w:rPr>
              <w:t xml:space="preserve"> → </w:t>
            </w:r>
            <w:r>
              <w:rPr>
                <w:rFonts w:ascii="Arial" w:hAnsi="Arial" w:cs="Arial"/>
                <w:b/>
                <w:i/>
              </w:rPr>
              <w:t>juil.</w:t>
            </w:r>
            <w:r w:rsidRPr="00391133">
              <w:rPr>
                <w:rFonts w:ascii="Arial" w:hAnsi="Arial" w:cs="Arial"/>
                <w:b/>
                <w:i/>
              </w:rPr>
              <w:t xml:space="preserve"> 2019 / </w:t>
            </w:r>
            <w:r>
              <w:rPr>
                <w:rFonts w:ascii="Arial" w:hAnsi="Arial" w:cs="Arial"/>
                <w:b/>
                <w:i/>
              </w:rPr>
              <w:t>jan</w:t>
            </w:r>
            <w:r w:rsidRPr="00391133">
              <w:rPr>
                <w:rFonts w:ascii="Arial" w:hAnsi="Arial" w:cs="Arial"/>
                <w:b/>
                <w:i/>
              </w:rPr>
              <w:t>. 201</w:t>
            </w:r>
            <w:r>
              <w:rPr>
                <w:rFonts w:ascii="Arial" w:hAnsi="Arial" w:cs="Arial"/>
                <w:b/>
                <w:i/>
              </w:rPr>
              <w:t>8</w:t>
            </w:r>
            <w:r w:rsidRPr="00391133">
              <w:rPr>
                <w:rFonts w:ascii="Arial" w:hAnsi="Arial" w:cs="Arial"/>
                <w:b/>
                <w:i/>
              </w:rPr>
              <w:t xml:space="preserve"> → </w:t>
            </w:r>
            <w:r>
              <w:rPr>
                <w:rFonts w:ascii="Arial" w:hAnsi="Arial" w:cs="Arial"/>
                <w:b/>
                <w:i/>
              </w:rPr>
              <w:t>juil.</w:t>
            </w:r>
            <w:r w:rsidRPr="00391133">
              <w:rPr>
                <w:rFonts w:ascii="Arial" w:hAnsi="Arial" w:cs="Arial"/>
                <w:b/>
                <w:i/>
              </w:rPr>
              <w:t xml:space="preserve"> 2018)</w:t>
            </w:r>
          </w:p>
        </w:tc>
      </w:tr>
      <w:tr w:rsidR="005A20DE" w14:paraId="33C98A60" w14:textId="77777777" w:rsidTr="006B33CC">
        <w:tc>
          <w:tcPr>
            <w:tcW w:w="2112" w:type="dxa"/>
            <w:tcBorders>
              <w:top w:val="single" w:sz="2" w:space="0" w:color="000000"/>
              <w:bottom w:val="dashSmallGap" w:sz="4" w:space="0" w:color="000000"/>
            </w:tcBorders>
          </w:tcPr>
          <w:p w14:paraId="154ACCA9" w14:textId="77777777" w:rsidR="005A20DE" w:rsidRPr="00585F83" w:rsidRDefault="005A20DE" w:rsidP="006B33CC">
            <w:pPr>
              <w:jc w:val="both"/>
              <w:rPr>
                <w:rFonts w:ascii="Arial" w:hAnsi="Arial" w:cs="Arial"/>
                <w:b/>
              </w:rPr>
            </w:pPr>
            <w:r w:rsidRPr="00391133">
              <w:rPr>
                <w:rFonts w:ascii="Arial" w:hAnsi="Arial" w:cs="Arial"/>
                <w:b/>
              </w:rPr>
              <w:t>Autorisations</w:t>
            </w:r>
          </w:p>
        </w:tc>
        <w:tc>
          <w:tcPr>
            <w:tcW w:w="1386" w:type="dxa"/>
            <w:tcBorders>
              <w:top w:val="single" w:sz="2" w:space="0" w:color="000000"/>
              <w:bottom w:val="dashSmallGap" w:sz="4" w:space="0" w:color="000000"/>
            </w:tcBorders>
          </w:tcPr>
          <w:p w14:paraId="719A28DD" w14:textId="77777777" w:rsidR="005A20DE" w:rsidRPr="00585F83" w:rsidRDefault="005A20DE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+30,6 %</w:t>
            </w:r>
          </w:p>
        </w:tc>
        <w:tc>
          <w:tcPr>
            <w:tcW w:w="1386" w:type="dxa"/>
            <w:tcBorders>
              <w:top w:val="single" w:sz="2" w:space="0" w:color="000000"/>
              <w:bottom w:val="dashSmallGap" w:sz="4" w:space="0" w:color="000000"/>
            </w:tcBorders>
          </w:tcPr>
          <w:p w14:paraId="421E8C56" w14:textId="77777777" w:rsidR="005A20DE" w:rsidRPr="00585F83" w:rsidRDefault="005A20DE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+6,8 %</w:t>
            </w:r>
          </w:p>
        </w:tc>
        <w:tc>
          <w:tcPr>
            <w:tcW w:w="1480" w:type="dxa"/>
            <w:tcBorders>
              <w:top w:val="single" w:sz="2" w:space="0" w:color="000000"/>
              <w:bottom w:val="dashSmallGap" w:sz="4" w:space="0" w:color="000000"/>
            </w:tcBorders>
          </w:tcPr>
          <w:p w14:paraId="28FAA85E" w14:textId="77777777" w:rsidR="005A20DE" w:rsidRPr="00585F83" w:rsidRDefault="005A20DE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+2,6 %</w:t>
            </w:r>
          </w:p>
        </w:tc>
        <w:tc>
          <w:tcPr>
            <w:tcW w:w="1559" w:type="dxa"/>
            <w:tcBorders>
              <w:top w:val="single" w:sz="2" w:space="0" w:color="000000"/>
              <w:bottom w:val="dashSmallGap" w:sz="4" w:space="0" w:color="000000"/>
            </w:tcBorders>
          </w:tcPr>
          <w:p w14:paraId="3319F1EB" w14:textId="77777777" w:rsidR="005A20DE" w:rsidRPr="00585F83" w:rsidRDefault="005A20DE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+1,6 %</w:t>
            </w:r>
          </w:p>
        </w:tc>
        <w:tc>
          <w:tcPr>
            <w:tcW w:w="1119" w:type="dxa"/>
            <w:tcBorders>
              <w:top w:val="single" w:sz="2" w:space="0" w:color="000000"/>
              <w:bottom w:val="dashSmallGap" w:sz="4" w:space="0" w:color="000000"/>
            </w:tcBorders>
          </w:tcPr>
          <w:p w14:paraId="0562A110" w14:textId="77777777" w:rsidR="005A20DE" w:rsidRPr="00585F83" w:rsidRDefault="005A20DE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+15,6 %</w:t>
            </w:r>
          </w:p>
        </w:tc>
      </w:tr>
      <w:tr w:rsidR="005A20DE" w14:paraId="2F1DF0B4" w14:textId="77777777" w:rsidTr="006B33CC">
        <w:tc>
          <w:tcPr>
            <w:tcW w:w="2112" w:type="dxa"/>
            <w:tcBorders>
              <w:top w:val="dashSmallGap" w:sz="4" w:space="0" w:color="000000"/>
              <w:bottom w:val="single" w:sz="2" w:space="0" w:color="000000"/>
            </w:tcBorders>
          </w:tcPr>
          <w:p w14:paraId="55CE5B1E" w14:textId="77777777" w:rsidR="005A20DE" w:rsidRPr="00585F83" w:rsidRDefault="005A20DE" w:rsidP="006B33CC">
            <w:pPr>
              <w:jc w:val="both"/>
              <w:rPr>
                <w:rFonts w:ascii="Arial" w:hAnsi="Arial" w:cs="Arial"/>
                <w:b/>
              </w:rPr>
            </w:pPr>
            <w:r w:rsidRPr="00391133">
              <w:rPr>
                <w:rFonts w:ascii="Arial" w:hAnsi="Arial" w:cs="Arial"/>
                <w:b/>
              </w:rPr>
              <w:t>Mises en chantier</w:t>
            </w:r>
          </w:p>
        </w:tc>
        <w:tc>
          <w:tcPr>
            <w:tcW w:w="1386" w:type="dxa"/>
            <w:tcBorders>
              <w:top w:val="dashSmallGap" w:sz="4" w:space="0" w:color="000000"/>
              <w:bottom w:val="single" w:sz="2" w:space="0" w:color="000000"/>
            </w:tcBorders>
          </w:tcPr>
          <w:p w14:paraId="688A6A5C" w14:textId="77777777" w:rsidR="005A20DE" w:rsidRPr="00585F83" w:rsidRDefault="005A20DE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+20,5 %</w:t>
            </w:r>
          </w:p>
        </w:tc>
        <w:tc>
          <w:tcPr>
            <w:tcW w:w="1386" w:type="dxa"/>
            <w:tcBorders>
              <w:top w:val="dashSmallGap" w:sz="4" w:space="0" w:color="000000"/>
              <w:bottom w:val="single" w:sz="2" w:space="0" w:color="000000"/>
            </w:tcBorders>
          </w:tcPr>
          <w:p w14:paraId="211F2ACF" w14:textId="77777777" w:rsidR="005A20DE" w:rsidRPr="00585F83" w:rsidRDefault="005A20DE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+0,2 %</w:t>
            </w:r>
          </w:p>
        </w:tc>
        <w:tc>
          <w:tcPr>
            <w:tcW w:w="1480" w:type="dxa"/>
            <w:tcBorders>
              <w:top w:val="dashSmallGap" w:sz="4" w:space="0" w:color="000000"/>
              <w:bottom w:val="single" w:sz="2" w:space="0" w:color="000000"/>
            </w:tcBorders>
          </w:tcPr>
          <w:p w14:paraId="43BA0371" w14:textId="77777777" w:rsidR="005A20DE" w:rsidRPr="00585F83" w:rsidRDefault="005A20DE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-7,7 %</w:t>
            </w:r>
          </w:p>
        </w:tc>
        <w:tc>
          <w:tcPr>
            <w:tcW w:w="1559" w:type="dxa"/>
            <w:tcBorders>
              <w:top w:val="dashSmallGap" w:sz="4" w:space="0" w:color="000000"/>
              <w:bottom w:val="single" w:sz="2" w:space="0" w:color="000000"/>
            </w:tcBorders>
          </w:tcPr>
          <w:p w14:paraId="5222E163" w14:textId="77777777" w:rsidR="005A20DE" w:rsidRPr="00585F83" w:rsidRDefault="005A20DE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-10,6 %</w:t>
            </w:r>
          </w:p>
        </w:tc>
        <w:tc>
          <w:tcPr>
            <w:tcW w:w="1119" w:type="dxa"/>
            <w:tcBorders>
              <w:top w:val="dashSmallGap" w:sz="4" w:space="0" w:color="000000"/>
              <w:bottom w:val="single" w:sz="2" w:space="0" w:color="000000"/>
            </w:tcBorders>
          </w:tcPr>
          <w:p w14:paraId="1F2D7CEA" w14:textId="77777777" w:rsidR="005A20DE" w:rsidRPr="00585F83" w:rsidRDefault="005A20DE" w:rsidP="006B33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+4,7 %</w:t>
            </w:r>
          </w:p>
        </w:tc>
      </w:tr>
      <w:tr w:rsidR="005A20DE" w14:paraId="09F2A739" w14:textId="77777777" w:rsidTr="006B33CC">
        <w:tc>
          <w:tcPr>
            <w:tcW w:w="9042" w:type="dxa"/>
            <w:gridSpan w:val="6"/>
            <w:tcBorders>
              <w:top w:val="single" w:sz="2" w:space="0" w:color="000000"/>
            </w:tcBorders>
          </w:tcPr>
          <w:p w14:paraId="2AA7FF1C" w14:textId="77777777" w:rsidR="005A20DE" w:rsidRPr="005763E8" w:rsidRDefault="005A20DE" w:rsidP="006B33CC">
            <w:pPr>
              <w:jc w:val="center"/>
              <w:rPr>
                <w:rFonts w:ascii="Arial" w:hAnsi="Arial" w:cs="Arial"/>
              </w:rPr>
            </w:pPr>
          </w:p>
        </w:tc>
      </w:tr>
      <w:tr w:rsidR="005A20DE" w14:paraId="2637289A" w14:textId="77777777" w:rsidTr="006B33CC">
        <w:tc>
          <w:tcPr>
            <w:tcW w:w="9042" w:type="dxa"/>
            <w:gridSpan w:val="6"/>
            <w:tcBorders>
              <w:bottom w:val="single" w:sz="2" w:space="0" w:color="000000"/>
            </w:tcBorders>
          </w:tcPr>
          <w:p w14:paraId="3D05E536" w14:textId="77777777" w:rsidR="005A20DE" w:rsidRPr="00B1212B" w:rsidRDefault="005A20DE" w:rsidP="006B33CC">
            <w:pPr>
              <w:jc w:val="center"/>
              <w:rPr>
                <w:rFonts w:ascii="Arial" w:hAnsi="Arial" w:cs="Arial"/>
                <w:i/>
              </w:rPr>
            </w:pPr>
            <w:r w:rsidRPr="00EE1F2A">
              <w:rPr>
                <w:rFonts w:ascii="Arial" w:hAnsi="Arial" w:cs="Arial"/>
                <w:i/>
              </w:rPr>
              <w:t>Sur neuf mois (</w:t>
            </w:r>
            <w:r>
              <w:rPr>
                <w:rFonts w:ascii="Arial" w:hAnsi="Arial" w:cs="Arial"/>
                <w:i/>
              </w:rPr>
              <w:t>nov.</w:t>
            </w:r>
            <w:r w:rsidRPr="00EE1F2A">
              <w:rPr>
                <w:rFonts w:ascii="Arial" w:hAnsi="Arial" w:cs="Arial"/>
                <w:i/>
              </w:rPr>
              <w:t xml:space="preserve"> 2018 → </w:t>
            </w:r>
            <w:r>
              <w:rPr>
                <w:rFonts w:ascii="Arial" w:hAnsi="Arial" w:cs="Arial"/>
                <w:i/>
              </w:rPr>
              <w:t>juil.</w:t>
            </w:r>
            <w:r w:rsidRPr="00EE1F2A">
              <w:rPr>
                <w:rFonts w:ascii="Arial" w:hAnsi="Arial" w:cs="Arial"/>
                <w:i/>
              </w:rPr>
              <w:t xml:space="preserve"> 201</w:t>
            </w:r>
            <w:r>
              <w:rPr>
                <w:rFonts w:ascii="Arial" w:hAnsi="Arial" w:cs="Arial"/>
                <w:i/>
              </w:rPr>
              <w:t>9</w:t>
            </w:r>
            <w:r w:rsidRPr="00EE1F2A">
              <w:rPr>
                <w:rFonts w:ascii="Arial" w:hAnsi="Arial" w:cs="Arial"/>
                <w:i/>
              </w:rPr>
              <w:t xml:space="preserve"> / </w:t>
            </w:r>
            <w:r>
              <w:rPr>
                <w:rFonts w:ascii="Arial" w:hAnsi="Arial" w:cs="Arial"/>
                <w:i/>
              </w:rPr>
              <w:t>nov.</w:t>
            </w:r>
            <w:r w:rsidRPr="00EE1F2A">
              <w:rPr>
                <w:rFonts w:ascii="Arial" w:hAnsi="Arial" w:cs="Arial"/>
                <w:i/>
              </w:rPr>
              <w:t xml:space="preserve"> 201</w:t>
            </w:r>
            <w:r>
              <w:rPr>
                <w:rFonts w:ascii="Arial" w:hAnsi="Arial" w:cs="Arial"/>
                <w:i/>
              </w:rPr>
              <w:t>7</w:t>
            </w:r>
            <w:r w:rsidRPr="00EE1F2A">
              <w:rPr>
                <w:rFonts w:ascii="Arial" w:hAnsi="Arial" w:cs="Arial"/>
                <w:i/>
              </w:rPr>
              <w:t xml:space="preserve"> → </w:t>
            </w:r>
            <w:r>
              <w:rPr>
                <w:rFonts w:ascii="Arial" w:hAnsi="Arial" w:cs="Arial"/>
                <w:i/>
              </w:rPr>
              <w:t>juil.</w:t>
            </w:r>
            <w:r w:rsidRPr="00EE1F2A">
              <w:rPr>
                <w:rFonts w:ascii="Arial" w:hAnsi="Arial" w:cs="Arial"/>
                <w:i/>
              </w:rPr>
              <w:t xml:space="preserve"> 201</w:t>
            </w:r>
            <w:r>
              <w:rPr>
                <w:rFonts w:ascii="Arial" w:hAnsi="Arial" w:cs="Arial"/>
                <w:i/>
              </w:rPr>
              <w:t>8</w:t>
            </w:r>
            <w:r w:rsidRPr="00EE1F2A">
              <w:rPr>
                <w:rFonts w:ascii="Arial" w:hAnsi="Arial" w:cs="Arial"/>
                <w:i/>
              </w:rPr>
              <w:t>)</w:t>
            </w:r>
          </w:p>
        </w:tc>
      </w:tr>
      <w:tr w:rsidR="005A20DE" w14:paraId="029D7FB4" w14:textId="77777777" w:rsidTr="006B33CC">
        <w:tc>
          <w:tcPr>
            <w:tcW w:w="2112" w:type="dxa"/>
            <w:tcBorders>
              <w:top w:val="single" w:sz="2" w:space="0" w:color="000000"/>
              <w:bottom w:val="dashSmallGap" w:sz="4" w:space="0" w:color="000000"/>
            </w:tcBorders>
          </w:tcPr>
          <w:p w14:paraId="2D1D6993" w14:textId="77777777" w:rsidR="005A20DE" w:rsidRPr="00B1212B" w:rsidRDefault="005A20DE" w:rsidP="006B33CC">
            <w:pPr>
              <w:jc w:val="both"/>
              <w:rPr>
                <w:rFonts w:ascii="Arial" w:hAnsi="Arial" w:cs="Arial"/>
              </w:rPr>
            </w:pPr>
            <w:r w:rsidRPr="00EE1F2A">
              <w:rPr>
                <w:rFonts w:ascii="Arial" w:hAnsi="Arial" w:cs="Arial"/>
              </w:rPr>
              <w:t>Autorisations</w:t>
            </w:r>
          </w:p>
        </w:tc>
        <w:tc>
          <w:tcPr>
            <w:tcW w:w="1386" w:type="dxa"/>
            <w:tcBorders>
              <w:top w:val="single" w:sz="2" w:space="0" w:color="000000"/>
              <w:bottom w:val="dashSmallGap" w:sz="4" w:space="0" w:color="000000"/>
            </w:tcBorders>
          </w:tcPr>
          <w:p w14:paraId="5C67E6C5" w14:textId="77777777" w:rsidR="005A20DE" w:rsidRPr="00B121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+27,1 %</w:t>
            </w:r>
          </w:p>
        </w:tc>
        <w:tc>
          <w:tcPr>
            <w:tcW w:w="1386" w:type="dxa"/>
            <w:tcBorders>
              <w:top w:val="single" w:sz="2" w:space="0" w:color="000000"/>
              <w:bottom w:val="dashSmallGap" w:sz="4" w:space="0" w:color="000000"/>
            </w:tcBorders>
          </w:tcPr>
          <w:p w14:paraId="190D0084" w14:textId="77777777" w:rsidR="005A20DE" w:rsidRPr="00B121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+4,6 %</w:t>
            </w:r>
          </w:p>
        </w:tc>
        <w:tc>
          <w:tcPr>
            <w:tcW w:w="1480" w:type="dxa"/>
            <w:tcBorders>
              <w:top w:val="single" w:sz="2" w:space="0" w:color="000000"/>
              <w:bottom w:val="dashSmallGap" w:sz="4" w:space="0" w:color="000000"/>
            </w:tcBorders>
          </w:tcPr>
          <w:p w14:paraId="22D97F7A" w14:textId="77777777" w:rsidR="005A20DE" w:rsidRPr="00B121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-4,9 %</w:t>
            </w:r>
          </w:p>
        </w:tc>
        <w:tc>
          <w:tcPr>
            <w:tcW w:w="1559" w:type="dxa"/>
            <w:tcBorders>
              <w:top w:val="single" w:sz="2" w:space="0" w:color="000000"/>
              <w:bottom w:val="dashSmallGap" w:sz="4" w:space="0" w:color="000000"/>
            </w:tcBorders>
          </w:tcPr>
          <w:p w14:paraId="0CFC35A7" w14:textId="77777777" w:rsidR="005A20DE" w:rsidRPr="00B121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+1,0 %</w:t>
            </w:r>
          </w:p>
        </w:tc>
        <w:tc>
          <w:tcPr>
            <w:tcW w:w="1119" w:type="dxa"/>
            <w:tcBorders>
              <w:top w:val="single" w:sz="2" w:space="0" w:color="000000"/>
              <w:bottom w:val="dashSmallGap" w:sz="4" w:space="0" w:color="000000"/>
            </w:tcBorders>
          </w:tcPr>
          <w:p w14:paraId="42A30256" w14:textId="77777777" w:rsidR="005A20DE" w:rsidRPr="00B121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+11,9 %</w:t>
            </w:r>
          </w:p>
        </w:tc>
      </w:tr>
      <w:tr w:rsidR="005A20DE" w14:paraId="44F4949A" w14:textId="77777777" w:rsidTr="006B33CC">
        <w:tc>
          <w:tcPr>
            <w:tcW w:w="2112" w:type="dxa"/>
            <w:tcBorders>
              <w:top w:val="dashSmallGap" w:sz="4" w:space="0" w:color="000000"/>
              <w:bottom w:val="single" w:sz="2" w:space="0" w:color="000000"/>
            </w:tcBorders>
          </w:tcPr>
          <w:p w14:paraId="6F38C36D" w14:textId="77777777" w:rsidR="005A20DE" w:rsidRPr="00B1212B" w:rsidRDefault="005A20DE" w:rsidP="006B33CC">
            <w:pPr>
              <w:jc w:val="both"/>
              <w:rPr>
                <w:rFonts w:ascii="Arial" w:hAnsi="Arial" w:cs="Arial"/>
              </w:rPr>
            </w:pPr>
            <w:r w:rsidRPr="00EE1F2A">
              <w:rPr>
                <w:rFonts w:ascii="Arial" w:hAnsi="Arial" w:cs="Arial"/>
              </w:rPr>
              <w:t>Mises en chantier</w:t>
            </w:r>
          </w:p>
        </w:tc>
        <w:tc>
          <w:tcPr>
            <w:tcW w:w="1386" w:type="dxa"/>
            <w:tcBorders>
              <w:top w:val="dashSmallGap" w:sz="4" w:space="0" w:color="000000"/>
              <w:bottom w:val="single" w:sz="2" w:space="0" w:color="000000"/>
            </w:tcBorders>
          </w:tcPr>
          <w:p w14:paraId="6FAE1ECA" w14:textId="77777777" w:rsidR="005A20DE" w:rsidRPr="00B121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+13,0 %</w:t>
            </w:r>
          </w:p>
        </w:tc>
        <w:tc>
          <w:tcPr>
            <w:tcW w:w="1386" w:type="dxa"/>
            <w:tcBorders>
              <w:top w:val="dashSmallGap" w:sz="4" w:space="0" w:color="000000"/>
              <w:bottom w:val="single" w:sz="2" w:space="0" w:color="000000"/>
            </w:tcBorders>
          </w:tcPr>
          <w:p w14:paraId="05E01569" w14:textId="77777777" w:rsidR="005A20DE" w:rsidRPr="00B121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+0,7 %</w:t>
            </w:r>
          </w:p>
        </w:tc>
        <w:tc>
          <w:tcPr>
            <w:tcW w:w="1480" w:type="dxa"/>
            <w:tcBorders>
              <w:top w:val="dashSmallGap" w:sz="4" w:space="0" w:color="000000"/>
              <w:bottom w:val="single" w:sz="2" w:space="0" w:color="000000"/>
            </w:tcBorders>
          </w:tcPr>
          <w:p w14:paraId="00A21186" w14:textId="77777777" w:rsidR="005A20DE" w:rsidRPr="00B121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-12,3 %</w:t>
            </w:r>
          </w:p>
        </w:tc>
        <w:tc>
          <w:tcPr>
            <w:tcW w:w="1559" w:type="dxa"/>
            <w:tcBorders>
              <w:top w:val="dashSmallGap" w:sz="4" w:space="0" w:color="000000"/>
              <w:bottom w:val="single" w:sz="2" w:space="0" w:color="000000"/>
            </w:tcBorders>
          </w:tcPr>
          <w:p w14:paraId="6486F3E1" w14:textId="77777777" w:rsidR="005A20DE" w:rsidRPr="00B121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-9,7 %</w:t>
            </w:r>
          </w:p>
        </w:tc>
        <w:tc>
          <w:tcPr>
            <w:tcW w:w="1119" w:type="dxa"/>
            <w:tcBorders>
              <w:top w:val="dashSmallGap" w:sz="4" w:space="0" w:color="000000"/>
              <w:bottom w:val="single" w:sz="2" w:space="0" w:color="000000"/>
            </w:tcBorders>
          </w:tcPr>
          <w:p w14:paraId="2846F368" w14:textId="77777777" w:rsidR="005A20DE" w:rsidRPr="00B121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+1,2 %</w:t>
            </w:r>
          </w:p>
        </w:tc>
      </w:tr>
      <w:tr w:rsidR="005A20DE" w:rsidRPr="000C61BD" w14:paraId="6F8C885A" w14:textId="77777777" w:rsidTr="006B33CC">
        <w:tc>
          <w:tcPr>
            <w:tcW w:w="9042" w:type="dxa"/>
            <w:gridSpan w:val="6"/>
            <w:tcBorders>
              <w:top w:val="single" w:sz="2" w:space="0" w:color="000000"/>
            </w:tcBorders>
          </w:tcPr>
          <w:p w14:paraId="75F5BE25" w14:textId="77777777" w:rsidR="005A20DE" w:rsidRPr="005763E8" w:rsidRDefault="005A20DE" w:rsidP="006B33CC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5A20DE" w:rsidRPr="003F79C3" w14:paraId="2BBC4DEE" w14:textId="77777777" w:rsidTr="006B33CC">
        <w:tc>
          <w:tcPr>
            <w:tcW w:w="9042" w:type="dxa"/>
            <w:gridSpan w:val="6"/>
            <w:tcBorders>
              <w:bottom w:val="single" w:sz="2" w:space="0" w:color="000000"/>
            </w:tcBorders>
          </w:tcPr>
          <w:p w14:paraId="7D57C8B9" w14:textId="77777777" w:rsidR="005A20DE" w:rsidRPr="0042352B" w:rsidRDefault="005A20DE" w:rsidP="006B33CC">
            <w:pPr>
              <w:jc w:val="center"/>
              <w:rPr>
                <w:rFonts w:ascii="Arial" w:hAnsi="Arial" w:cs="Arial"/>
                <w:i/>
              </w:rPr>
            </w:pPr>
            <w:r w:rsidRPr="0042352B">
              <w:rPr>
                <w:rFonts w:ascii="Arial" w:hAnsi="Arial" w:cs="Arial"/>
                <w:i/>
              </w:rPr>
              <w:t>Sur un an (</w:t>
            </w:r>
            <w:r>
              <w:rPr>
                <w:rFonts w:ascii="Arial" w:hAnsi="Arial" w:cs="Arial"/>
                <w:i/>
              </w:rPr>
              <w:t>août</w:t>
            </w:r>
            <w:r w:rsidRPr="0042352B">
              <w:rPr>
                <w:rFonts w:ascii="Arial" w:hAnsi="Arial" w:cs="Arial"/>
                <w:i/>
              </w:rPr>
              <w:t xml:space="preserve"> 2018 → </w:t>
            </w:r>
            <w:r>
              <w:rPr>
                <w:rFonts w:ascii="Arial" w:hAnsi="Arial" w:cs="Arial"/>
                <w:i/>
              </w:rPr>
              <w:t xml:space="preserve">juil. </w:t>
            </w:r>
            <w:r w:rsidRPr="0042352B">
              <w:rPr>
                <w:rFonts w:ascii="Arial" w:hAnsi="Arial" w:cs="Arial"/>
                <w:i/>
              </w:rPr>
              <w:t xml:space="preserve">2019 / </w:t>
            </w:r>
            <w:r>
              <w:rPr>
                <w:rFonts w:ascii="Arial" w:hAnsi="Arial" w:cs="Arial"/>
                <w:i/>
              </w:rPr>
              <w:t xml:space="preserve">août </w:t>
            </w:r>
            <w:r w:rsidRPr="0042352B">
              <w:rPr>
                <w:rFonts w:ascii="Arial" w:hAnsi="Arial" w:cs="Arial"/>
                <w:i/>
              </w:rPr>
              <w:t>201</w:t>
            </w:r>
            <w:r>
              <w:rPr>
                <w:rFonts w:ascii="Arial" w:hAnsi="Arial" w:cs="Arial"/>
                <w:i/>
              </w:rPr>
              <w:t>7</w:t>
            </w:r>
            <w:r w:rsidRPr="0042352B">
              <w:rPr>
                <w:rFonts w:ascii="Arial" w:hAnsi="Arial" w:cs="Arial"/>
                <w:i/>
              </w:rPr>
              <w:t xml:space="preserve"> → </w:t>
            </w:r>
            <w:r>
              <w:rPr>
                <w:rFonts w:ascii="Arial" w:hAnsi="Arial" w:cs="Arial"/>
                <w:i/>
              </w:rPr>
              <w:t>juil.</w:t>
            </w:r>
            <w:r w:rsidRPr="0042352B">
              <w:rPr>
                <w:rFonts w:ascii="Arial" w:hAnsi="Arial" w:cs="Arial"/>
                <w:i/>
              </w:rPr>
              <w:t xml:space="preserve"> 2018)</w:t>
            </w:r>
          </w:p>
        </w:tc>
      </w:tr>
      <w:tr w:rsidR="005A20DE" w:rsidRPr="003F79C3" w14:paraId="67AAB12E" w14:textId="77777777" w:rsidTr="006B33CC">
        <w:tc>
          <w:tcPr>
            <w:tcW w:w="2112" w:type="dxa"/>
            <w:tcBorders>
              <w:top w:val="single" w:sz="2" w:space="0" w:color="000000"/>
              <w:bottom w:val="dashSmallGap" w:sz="4" w:space="0" w:color="000000"/>
            </w:tcBorders>
          </w:tcPr>
          <w:p w14:paraId="72066C83" w14:textId="77777777" w:rsidR="005A20DE" w:rsidRPr="0042352B" w:rsidRDefault="005A20DE" w:rsidP="006B33CC">
            <w:pPr>
              <w:jc w:val="both"/>
              <w:rPr>
                <w:rFonts w:ascii="Arial" w:hAnsi="Arial" w:cs="Arial"/>
              </w:rPr>
            </w:pPr>
            <w:r w:rsidRPr="0042352B">
              <w:rPr>
                <w:rFonts w:ascii="Arial" w:hAnsi="Arial" w:cs="Arial"/>
              </w:rPr>
              <w:t>Autorisations</w:t>
            </w:r>
          </w:p>
        </w:tc>
        <w:tc>
          <w:tcPr>
            <w:tcW w:w="1386" w:type="dxa"/>
            <w:tcBorders>
              <w:top w:val="single" w:sz="2" w:space="0" w:color="000000"/>
              <w:bottom w:val="dashSmallGap" w:sz="4" w:space="0" w:color="000000"/>
            </w:tcBorders>
          </w:tcPr>
          <w:p w14:paraId="7B7DE19C" w14:textId="77777777" w:rsidR="005A20DE" w:rsidRPr="004235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+13,6 %</w:t>
            </w:r>
          </w:p>
        </w:tc>
        <w:tc>
          <w:tcPr>
            <w:tcW w:w="1386" w:type="dxa"/>
            <w:tcBorders>
              <w:top w:val="single" w:sz="2" w:space="0" w:color="000000"/>
              <w:bottom w:val="dashSmallGap" w:sz="4" w:space="0" w:color="000000"/>
            </w:tcBorders>
          </w:tcPr>
          <w:p w14:paraId="27451FF9" w14:textId="77777777" w:rsidR="005A20DE" w:rsidRPr="004235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+4,8 %</w:t>
            </w:r>
          </w:p>
        </w:tc>
        <w:tc>
          <w:tcPr>
            <w:tcW w:w="1480" w:type="dxa"/>
            <w:tcBorders>
              <w:top w:val="single" w:sz="2" w:space="0" w:color="000000"/>
              <w:bottom w:val="dashSmallGap" w:sz="4" w:space="0" w:color="000000"/>
            </w:tcBorders>
          </w:tcPr>
          <w:p w14:paraId="21E86881" w14:textId="77777777" w:rsidR="005A20DE" w:rsidRPr="004235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-10,9 %</w:t>
            </w:r>
          </w:p>
        </w:tc>
        <w:tc>
          <w:tcPr>
            <w:tcW w:w="1559" w:type="dxa"/>
            <w:tcBorders>
              <w:top w:val="single" w:sz="2" w:space="0" w:color="000000"/>
              <w:bottom w:val="dashSmallGap" w:sz="4" w:space="0" w:color="000000"/>
            </w:tcBorders>
          </w:tcPr>
          <w:p w14:paraId="6BFDD68E" w14:textId="77777777" w:rsidR="005A20DE" w:rsidRPr="004235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-2,9 %</w:t>
            </w:r>
          </w:p>
        </w:tc>
        <w:tc>
          <w:tcPr>
            <w:tcW w:w="1119" w:type="dxa"/>
            <w:tcBorders>
              <w:top w:val="single" w:sz="2" w:space="0" w:color="000000"/>
              <w:bottom w:val="dashSmallGap" w:sz="4" w:space="0" w:color="000000"/>
            </w:tcBorders>
          </w:tcPr>
          <w:p w14:paraId="041D008C" w14:textId="77777777" w:rsidR="005A20DE" w:rsidRPr="004235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+4,6 %</w:t>
            </w:r>
          </w:p>
        </w:tc>
      </w:tr>
      <w:tr w:rsidR="005A20DE" w:rsidRPr="003F79C3" w14:paraId="0A59F94E" w14:textId="77777777" w:rsidTr="006B33CC">
        <w:tc>
          <w:tcPr>
            <w:tcW w:w="2112" w:type="dxa"/>
            <w:tcBorders>
              <w:top w:val="dashSmallGap" w:sz="4" w:space="0" w:color="000000"/>
              <w:bottom w:val="single" w:sz="12" w:space="0" w:color="000000"/>
            </w:tcBorders>
          </w:tcPr>
          <w:p w14:paraId="1A5C2601" w14:textId="77777777" w:rsidR="005A20DE" w:rsidRPr="0042352B" w:rsidRDefault="005A20DE" w:rsidP="006B33CC">
            <w:pPr>
              <w:jc w:val="both"/>
              <w:rPr>
                <w:rFonts w:ascii="Arial" w:hAnsi="Arial" w:cs="Arial"/>
              </w:rPr>
            </w:pPr>
            <w:r w:rsidRPr="0042352B">
              <w:rPr>
                <w:rFonts w:ascii="Arial" w:hAnsi="Arial" w:cs="Arial"/>
              </w:rPr>
              <w:t>Mises en chantier</w:t>
            </w:r>
          </w:p>
        </w:tc>
        <w:tc>
          <w:tcPr>
            <w:tcW w:w="1386" w:type="dxa"/>
            <w:tcBorders>
              <w:top w:val="dashSmallGap" w:sz="4" w:space="0" w:color="000000"/>
              <w:bottom w:val="single" w:sz="12" w:space="0" w:color="000000"/>
            </w:tcBorders>
          </w:tcPr>
          <w:p w14:paraId="5C2AA43E" w14:textId="77777777" w:rsidR="005A20DE" w:rsidRPr="004235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-0,3 %</w:t>
            </w:r>
          </w:p>
        </w:tc>
        <w:tc>
          <w:tcPr>
            <w:tcW w:w="1386" w:type="dxa"/>
            <w:tcBorders>
              <w:top w:val="dashSmallGap" w:sz="4" w:space="0" w:color="000000"/>
              <w:bottom w:val="single" w:sz="12" w:space="0" w:color="000000"/>
            </w:tcBorders>
          </w:tcPr>
          <w:p w14:paraId="6AEBBAFC" w14:textId="77777777" w:rsidR="005A20DE" w:rsidRPr="004235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+5,9 %</w:t>
            </w:r>
          </w:p>
        </w:tc>
        <w:tc>
          <w:tcPr>
            <w:tcW w:w="1480" w:type="dxa"/>
            <w:tcBorders>
              <w:top w:val="dashSmallGap" w:sz="4" w:space="0" w:color="000000"/>
              <w:bottom w:val="single" w:sz="12" w:space="0" w:color="000000"/>
            </w:tcBorders>
          </w:tcPr>
          <w:p w14:paraId="707134EE" w14:textId="77777777" w:rsidR="005A20DE" w:rsidRPr="004235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-16,4 %</w:t>
            </w:r>
          </w:p>
        </w:tc>
        <w:tc>
          <w:tcPr>
            <w:tcW w:w="1559" w:type="dxa"/>
            <w:tcBorders>
              <w:top w:val="dashSmallGap" w:sz="4" w:space="0" w:color="000000"/>
              <w:bottom w:val="single" w:sz="12" w:space="0" w:color="000000"/>
            </w:tcBorders>
          </w:tcPr>
          <w:p w14:paraId="42087124" w14:textId="77777777" w:rsidR="005A20DE" w:rsidRPr="004235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-9,5 %</w:t>
            </w:r>
          </w:p>
        </w:tc>
        <w:tc>
          <w:tcPr>
            <w:tcW w:w="1119" w:type="dxa"/>
            <w:tcBorders>
              <w:top w:val="dashSmallGap" w:sz="4" w:space="0" w:color="000000"/>
              <w:bottom w:val="single" w:sz="12" w:space="0" w:color="000000"/>
            </w:tcBorders>
          </w:tcPr>
          <w:p w14:paraId="58E95475" w14:textId="77777777" w:rsidR="005A20DE" w:rsidRPr="0042352B" w:rsidRDefault="005A20DE" w:rsidP="006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-4,0 %</w:t>
            </w:r>
          </w:p>
        </w:tc>
      </w:tr>
    </w:tbl>
    <w:p w14:paraId="56EC9A54" w14:textId="77777777" w:rsidR="0000025A" w:rsidRPr="00CB20BC" w:rsidRDefault="0000025A" w:rsidP="0000025A">
      <w:pPr>
        <w:spacing w:before="30"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CB20BC">
        <w:rPr>
          <w:rFonts w:ascii="Arial" w:hAnsi="Arial" w:cs="Arial"/>
          <w:i/>
          <w:sz w:val="20"/>
          <w:szCs w:val="20"/>
        </w:rPr>
        <w:t xml:space="preserve">Source : </w:t>
      </w:r>
      <w:r>
        <w:rPr>
          <w:rFonts w:ascii="Arial" w:hAnsi="Arial" w:cs="Arial"/>
          <w:i/>
          <w:sz w:val="20"/>
          <w:szCs w:val="20"/>
        </w:rPr>
        <w:t xml:space="preserve">FFB d’après </w:t>
      </w:r>
      <w:r w:rsidRPr="00CB20BC">
        <w:rPr>
          <w:rFonts w:ascii="Arial" w:hAnsi="Arial" w:cs="Arial"/>
          <w:i/>
          <w:sz w:val="20"/>
          <w:szCs w:val="20"/>
        </w:rPr>
        <w:t>MT</w:t>
      </w:r>
      <w:r>
        <w:rPr>
          <w:rFonts w:ascii="Arial" w:hAnsi="Arial" w:cs="Arial"/>
          <w:i/>
          <w:sz w:val="20"/>
          <w:szCs w:val="20"/>
        </w:rPr>
        <w:t>ES/</w:t>
      </w:r>
      <w:r w:rsidRPr="00CB20BC">
        <w:rPr>
          <w:rFonts w:ascii="Arial" w:hAnsi="Arial" w:cs="Arial"/>
          <w:i/>
          <w:sz w:val="20"/>
          <w:szCs w:val="20"/>
        </w:rPr>
        <w:t>CGDD</w:t>
      </w:r>
      <w:r>
        <w:rPr>
          <w:rFonts w:ascii="Arial" w:hAnsi="Arial" w:cs="Arial"/>
          <w:i/>
          <w:sz w:val="20"/>
          <w:szCs w:val="20"/>
        </w:rPr>
        <w:t>/SDES, Sit@del2</w:t>
      </w:r>
    </w:p>
    <w:p w14:paraId="4617C90D" w14:textId="77777777" w:rsidR="001C1129" w:rsidRDefault="001C1129" w:rsidP="00BC4D22">
      <w:pPr>
        <w:spacing w:after="0" w:line="360" w:lineRule="auto"/>
        <w:jc w:val="both"/>
        <w:rPr>
          <w:rFonts w:ascii="Arial" w:hAnsi="Arial" w:cs="Arial"/>
        </w:rPr>
      </w:pPr>
    </w:p>
    <w:p w14:paraId="4E95F013" w14:textId="61827DD6" w:rsidR="00BC4D22" w:rsidRDefault="001C1129" w:rsidP="00BC4D2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 ailleurs, il </w:t>
      </w:r>
      <w:r w:rsidR="00844845">
        <w:rPr>
          <w:rFonts w:ascii="Arial" w:hAnsi="Arial" w:cs="Arial"/>
        </w:rPr>
        <w:t>faut</w:t>
      </w:r>
      <w:r>
        <w:rPr>
          <w:rFonts w:ascii="Arial" w:hAnsi="Arial" w:cs="Arial"/>
        </w:rPr>
        <w:t xml:space="preserve"> </w:t>
      </w:r>
      <w:r w:rsidR="00844845">
        <w:rPr>
          <w:rFonts w:ascii="Arial" w:hAnsi="Arial" w:cs="Arial"/>
        </w:rPr>
        <w:t xml:space="preserve">à </w:t>
      </w:r>
      <w:r>
        <w:rPr>
          <w:rFonts w:ascii="Arial" w:hAnsi="Arial" w:cs="Arial"/>
        </w:rPr>
        <w:t xml:space="preserve">nouveau </w:t>
      </w:r>
      <w:r w:rsidR="00844845">
        <w:rPr>
          <w:rFonts w:ascii="Arial" w:hAnsi="Arial" w:cs="Arial"/>
        </w:rPr>
        <w:t>souligner le</w:t>
      </w:r>
      <w:r w:rsidR="00FB32B3" w:rsidRPr="00FB32B3">
        <w:rPr>
          <w:rFonts w:ascii="Arial" w:hAnsi="Arial" w:cs="Arial"/>
        </w:rPr>
        <w:t xml:space="preserve"> grand écart entre permis et mi</w:t>
      </w:r>
      <w:r w:rsidR="00FB32B3">
        <w:rPr>
          <w:rFonts w:ascii="Arial" w:hAnsi="Arial" w:cs="Arial"/>
        </w:rPr>
        <w:t>ses en chantier (cf. graphique 6</w:t>
      </w:r>
      <w:r w:rsidR="00FB32B3" w:rsidRPr="00FB32B3">
        <w:rPr>
          <w:rFonts w:ascii="Arial" w:hAnsi="Arial" w:cs="Arial"/>
        </w:rPr>
        <w:t>)</w:t>
      </w:r>
      <w:r w:rsidR="00FB32B3">
        <w:rPr>
          <w:rFonts w:ascii="Arial" w:hAnsi="Arial" w:cs="Arial"/>
        </w:rPr>
        <w:t>.</w:t>
      </w:r>
      <w:r w:rsidR="00FB32B3" w:rsidRPr="00FB32B3">
        <w:rPr>
          <w:rFonts w:ascii="Arial" w:hAnsi="Arial" w:cs="Arial"/>
        </w:rPr>
        <w:t xml:space="preserve"> </w:t>
      </w:r>
      <w:r w:rsidR="00844845">
        <w:rPr>
          <w:rFonts w:ascii="Arial" w:hAnsi="Arial" w:cs="Arial"/>
        </w:rPr>
        <w:t>Il s’observe depuis 2010, mais conna</w:t>
      </w:r>
      <w:r w:rsidR="002B4937">
        <w:rPr>
          <w:rFonts w:ascii="Arial" w:hAnsi="Arial" w:cs="Arial"/>
        </w:rPr>
        <w:t>î</w:t>
      </w:r>
      <w:r w:rsidR="00844845">
        <w:rPr>
          <w:rFonts w:ascii="Arial" w:hAnsi="Arial" w:cs="Arial"/>
        </w:rPr>
        <w:t>t une nouvelle accélération sur les sept premiers mois de 2019</w:t>
      </w:r>
      <w:r w:rsidR="00F234D4">
        <w:rPr>
          <w:rFonts w:ascii="Arial" w:hAnsi="Arial" w:cs="Arial"/>
        </w:rPr>
        <w:t xml:space="preserve"> et sort de sa marge d’erreur. </w:t>
      </w:r>
      <w:r w:rsidR="00FB32B3" w:rsidRPr="00FB32B3">
        <w:rPr>
          <w:rFonts w:ascii="Arial" w:hAnsi="Arial" w:cs="Arial"/>
        </w:rPr>
        <w:t xml:space="preserve">En conséquence, les chiffres </w:t>
      </w:r>
      <w:r>
        <w:rPr>
          <w:rFonts w:ascii="Arial" w:hAnsi="Arial" w:cs="Arial"/>
        </w:rPr>
        <w:t xml:space="preserve">officiels </w:t>
      </w:r>
      <w:r w:rsidR="00844845">
        <w:rPr>
          <w:rFonts w:ascii="Arial" w:hAnsi="Arial" w:cs="Arial"/>
        </w:rPr>
        <w:t xml:space="preserve">de mises en chantier </w:t>
      </w:r>
      <w:r w:rsidR="00FB32B3" w:rsidRPr="00FB32B3">
        <w:rPr>
          <w:rFonts w:ascii="Arial" w:hAnsi="Arial" w:cs="Arial"/>
        </w:rPr>
        <w:t>sous-estiment très probablement la réalité</w:t>
      </w:r>
      <w:r w:rsidR="00FB32B3">
        <w:rPr>
          <w:rFonts w:ascii="Arial" w:hAnsi="Arial" w:cs="Arial"/>
        </w:rPr>
        <w:t>.</w:t>
      </w:r>
    </w:p>
    <w:p w14:paraId="6927F65F" w14:textId="77777777" w:rsidR="00BC4D22" w:rsidRDefault="00BC4D22" w:rsidP="00BC4D22">
      <w:pPr>
        <w:pStyle w:val="Sansinterligne"/>
        <w:spacing w:line="360" w:lineRule="auto"/>
      </w:pPr>
    </w:p>
    <w:p w14:paraId="165E3969" w14:textId="78D5D427" w:rsidR="00BC4D22" w:rsidRDefault="00BC4D22" w:rsidP="007B2488">
      <w:pPr>
        <w:spacing w:after="0" w:line="360" w:lineRule="auto"/>
        <w:jc w:val="center"/>
        <w:rPr>
          <w:rFonts w:ascii="Arial" w:hAnsi="Arial" w:cs="Arial"/>
        </w:rPr>
      </w:pPr>
      <w:r w:rsidRPr="00CC269B">
        <w:rPr>
          <w:rFonts w:ascii="Arial" w:hAnsi="Arial" w:cs="Arial"/>
        </w:rPr>
        <w:t xml:space="preserve">Graphique </w:t>
      </w:r>
      <w:r w:rsidR="0000025A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- </w:t>
      </w:r>
      <w:r w:rsidRPr="00CC269B">
        <w:rPr>
          <w:rFonts w:ascii="Arial" w:hAnsi="Arial" w:cs="Arial"/>
          <w:b/>
        </w:rPr>
        <w:t xml:space="preserve">Rapport entre </w:t>
      </w:r>
      <w:r>
        <w:rPr>
          <w:rFonts w:ascii="Arial" w:hAnsi="Arial" w:cs="Arial"/>
          <w:b/>
        </w:rPr>
        <w:t>surfaces autorisées</w:t>
      </w:r>
      <w:r w:rsidRPr="00CC269B">
        <w:rPr>
          <w:rFonts w:ascii="Arial" w:hAnsi="Arial" w:cs="Arial"/>
          <w:b/>
        </w:rPr>
        <w:t xml:space="preserve"> et </w:t>
      </w:r>
      <w:r>
        <w:rPr>
          <w:rFonts w:ascii="Arial" w:hAnsi="Arial" w:cs="Arial"/>
          <w:b/>
        </w:rPr>
        <w:t xml:space="preserve">surfaces commencées </w:t>
      </w:r>
      <w:r w:rsidRPr="00CC269B">
        <w:rPr>
          <w:rFonts w:ascii="Arial" w:hAnsi="Arial" w:cs="Arial"/>
          <w:b/>
        </w:rPr>
        <w:t>des bâtiments non résidentiels</w:t>
      </w:r>
      <w:r>
        <w:rPr>
          <w:rFonts w:ascii="Arial" w:hAnsi="Arial" w:cs="Arial"/>
          <w:b/>
        </w:rPr>
        <w:t xml:space="preserve"> neufs</w:t>
      </w:r>
      <w:r>
        <w:rPr>
          <w:rFonts w:ascii="Arial" w:hAnsi="Arial" w:cs="Arial"/>
        </w:rPr>
        <w:t xml:space="preserve"> </w:t>
      </w:r>
      <w:r w:rsidRPr="00CC269B">
        <w:rPr>
          <w:rFonts w:ascii="Arial" w:hAnsi="Arial" w:cs="Arial"/>
        </w:rPr>
        <w:t xml:space="preserve">(hors </w:t>
      </w:r>
      <w:r>
        <w:rPr>
          <w:rFonts w:ascii="Arial" w:hAnsi="Arial" w:cs="Arial"/>
        </w:rPr>
        <w:t xml:space="preserve">locaux </w:t>
      </w:r>
      <w:r w:rsidRPr="00CC269B">
        <w:rPr>
          <w:rFonts w:ascii="Arial" w:hAnsi="Arial" w:cs="Arial"/>
        </w:rPr>
        <w:t>agricole</w:t>
      </w:r>
      <w:r>
        <w:rPr>
          <w:rFonts w:ascii="Arial" w:hAnsi="Arial" w:cs="Arial"/>
        </w:rPr>
        <w:t>s</w:t>
      </w:r>
      <w:r w:rsidRPr="00CC269B">
        <w:rPr>
          <w:rFonts w:ascii="Arial" w:hAnsi="Arial" w:cs="Arial"/>
        </w:rPr>
        <w:t>)</w:t>
      </w:r>
    </w:p>
    <w:p w14:paraId="37CD2E70" w14:textId="209FA60F" w:rsidR="00BC4D22" w:rsidRDefault="005A20DE" w:rsidP="00BC4D22">
      <w:pPr>
        <w:spacing w:after="0" w:line="312" w:lineRule="auto"/>
        <w:jc w:val="center"/>
        <w:rPr>
          <w:rFonts w:ascii="Arial" w:hAnsi="Arial" w:cs="Arial"/>
        </w:rPr>
      </w:pPr>
      <w:r w:rsidRPr="001A344E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27B25FF2" wp14:editId="0117A03C">
            <wp:extent cx="5187600" cy="3160800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487E" w14:textId="77777777" w:rsidR="00BC4D22" w:rsidRDefault="00BC4D22" w:rsidP="00BC4D22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CB20BC">
        <w:rPr>
          <w:rFonts w:ascii="Arial" w:hAnsi="Arial" w:cs="Arial"/>
          <w:i/>
          <w:sz w:val="20"/>
          <w:szCs w:val="20"/>
        </w:rPr>
        <w:t xml:space="preserve">Source : </w:t>
      </w:r>
      <w:r>
        <w:rPr>
          <w:rFonts w:ascii="Arial" w:hAnsi="Arial" w:cs="Arial"/>
          <w:i/>
          <w:sz w:val="20"/>
          <w:szCs w:val="20"/>
        </w:rPr>
        <w:t>FFB d’après MTES/</w:t>
      </w:r>
      <w:r w:rsidRPr="00CB20BC">
        <w:rPr>
          <w:rFonts w:ascii="Arial" w:hAnsi="Arial" w:cs="Arial"/>
          <w:i/>
          <w:sz w:val="20"/>
          <w:szCs w:val="20"/>
        </w:rPr>
        <w:t>CGDD</w:t>
      </w:r>
      <w:r>
        <w:rPr>
          <w:rFonts w:ascii="Arial" w:hAnsi="Arial" w:cs="Arial"/>
          <w:i/>
          <w:sz w:val="20"/>
          <w:szCs w:val="20"/>
        </w:rPr>
        <w:t>/SDES, Sit@del2</w:t>
      </w:r>
    </w:p>
    <w:p w14:paraId="1FEAA097" w14:textId="07505709" w:rsidR="00BC4D22" w:rsidRDefault="00BC4D22" w:rsidP="003E2CF2">
      <w:pPr>
        <w:pStyle w:val="Sansinterligne"/>
        <w:spacing w:line="360" w:lineRule="auto"/>
        <w:jc w:val="both"/>
        <w:rPr>
          <w:rFonts w:ascii="Arial" w:hAnsi="Arial" w:cs="Arial"/>
        </w:rPr>
      </w:pPr>
    </w:p>
    <w:p w14:paraId="3027B276" w14:textId="1BCC6377" w:rsidR="00037EC6" w:rsidRDefault="005B30DA" w:rsidP="003E2CF2">
      <w:pPr>
        <w:pStyle w:val="Sansinterligne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 peu plus de la moitié des ex-régions voient leurs surfaces autorisées progresser en glissement annuel sur douze mois à fin juillet 2019</w:t>
      </w:r>
      <w:r w:rsidR="00F4684B">
        <w:rPr>
          <w:rFonts w:ascii="Arial" w:hAnsi="Arial" w:cs="Arial"/>
        </w:rPr>
        <w:t xml:space="preserve"> (cf. carte 3a)</w:t>
      </w:r>
      <w:r>
        <w:rPr>
          <w:rFonts w:ascii="Arial" w:hAnsi="Arial" w:cs="Arial"/>
        </w:rPr>
        <w:t xml:space="preserve">. </w:t>
      </w:r>
      <w:r w:rsidR="00467A48">
        <w:rPr>
          <w:rFonts w:ascii="Arial" w:hAnsi="Arial" w:cs="Arial"/>
        </w:rPr>
        <w:t>Par ailleurs</w:t>
      </w:r>
      <w:r w:rsidR="003E2CF2">
        <w:rPr>
          <w:rFonts w:ascii="Arial" w:hAnsi="Arial" w:cs="Arial"/>
        </w:rPr>
        <w:t xml:space="preserve">, </w:t>
      </w:r>
      <w:r w:rsidR="00F4684B">
        <w:rPr>
          <w:rFonts w:ascii="Arial" w:hAnsi="Arial" w:cs="Arial"/>
        </w:rPr>
        <w:t xml:space="preserve">sur la même période, </w:t>
      </w:r>
      <w:r w:rsidR="00844845">
        <w:rPr>
          <w:rFonts w:ascii="Arial" w:hAnsi="Arial" w:cs="Arial"/>
        </w:rPr>
        <w:t>les</w:t>
      </w:r>
      <w:r w:rsidR="00467A48">
        <w:rPr>
          <w:rFonts w:ascii="Arial" w:hAnsi="Arial" w:cs="Arial"/>
        </w:rPr>
        <w:t xml:space="preserve"> surfaces commencées </w:t>
      </w:r>
      <w:r w:rsidR="00844845">
        <w:rPr>
          <w:rFonts w:ascii="Arial" w:hAnsi="Arial" w:cs="Arial"/>
        </w:rPr>
        <w:t xml:space="preserve">baissent </w:t>
      </w:r>
      <w:r w:rsidR="003E2CF2">
        <w:rPr>
          <w:rFonts w:ascii="Arial" w:hAnsi="Arial" w:cs="Arial"/>
        </w:rPr>
        <w:t xml:space="preserve">sur un croissant </w:t>
      </w:r>
      <w:r w:rsidR="00844845">
        <w:rPr>
          <w:rFonts w:ascii="Arial" w:hAnsi="Arial" w:cs="Arial"/>
        </w:rPr>
        <w:t xml:space="preserve">joignant </w:t>
      </w:r>
      <w:r w:rsidR="002B4937">
        <w:rPr>
          <w:rFonts w:ascii="Arial" w:hAnsi="Arial" w:cs="Arial"/>
        </w:rPr>
        <w:t>les Pays de la Loire</w:t>
      </w:r>
      <w:r w:rsidR="003E2CF2">
        <w:rPr>
          <w:rFonts w:ascii="Arial" w:hAnsi="Arial" w:cs="Arial"/>
        </w:rPr>
        <w:t xml:space="preserve"> à l’ex</w:t>
      </w:r>
      <w:r w:rsidR="003223A7">
        <w:rPr>
          <w:rFonts w:ascii="Arial" w:hAnsi="Arial" w:cs="Arial"/>
        </w:rPr>
        <w:t>-</w:t>
      </w:r>
      <w:r w:rsidR="003E2CF2">
        <w:rPr>
          <w:rFonts w:ascii="Arial" w:hAnsi="Arial" w:cs="Arial"/>
        </w:rPr>
        <w:t>Midi-Pyrénées, si l’on excepte</w:t>
      </w:r>
      <w:r w:rsidR="002B4937">
        <w:rPr>
          <w:rFonts w:ascii="Arial" w:hAnsi="Arial" w:cs="Arial"/>
        </w:rPr>
        <w:t xml:space="preserve"> l’ex Basse-Normandie </w:t>
      </w:r>
      <w:r w:rsidR="00467A48">
        <w:rPr>
          <w:rFonts w:ascii="Arial" w:hAnsi="Arial" w:cs="Arial"/>
        </w:rPr>
        <w:t>et</w:t>
      </w:r>
      <w:r w:rsidR="003E2CF2">
        <w:rPr>
          <w:rFonts w:ascii="Arial" w:hAnsi="Arial" w:cs="Arial"/>
        </w:rPr>
        <w:t xml:space="preserve"> </w:t>
      </w:r>
      <w:r w:rsidR="003223A7">
        <w:rPr>
          <w:rFonts w:ascii="Arial" w:hAnsi="Arial" w:cs="Arial"/>
        </w:rPr>
        <w:t>l’ex-</w:t>
      </w:r>
      <w:r w:rsidR="00467A48">
        <w:rPr>
          <w:rFonts w:ascii="Arial" w:hAnsi="Arial" w:cs="Arial"/>
        </w:rPr>
        <w:t>Languedoc-Roussillon</w:t>
      </w:r>
      <w:r w:rsidR="00F4684B">
        <w:rPr>
          <w:rFonts w:ascii="Arial" w:hAnsi="Arial" w:cs="Arial"/>
        </w:rPr>
        <w:t xml:space="preserve"> (cf. carte 3b)</w:t>
      </w:r>
      <w:r w:rsidR="00467A48">
        <w:rPr>
          <w:rFonts w:ascii="Arial" w:hAnsi="Arial" w:cs="Arial"/>
        </w:rPr>
        <w:t>.</w:t>
      </w:r>
    </w:p>
    <w:p w14:paraId="33059290" w14:textId="77777777" w:rsidR="00037EC6" w:rsidRPr="005A20DE" w:rsidRDefault="00037EC6" w:rsidP="003E2CF2">
      <w:pPr>
        <w:pStyle w:val="Sansinterligne"/>
        <w:spacing w:line="360" w:lineRule="auto"/>
        <w:jc w:val="both"/>
        <w:rPr>
          <w:rFonts w:ascii="Arial" w:hAnsi="Arial" w:cs="Arial"/>
        </w:rPr>
      </w:pPr>
    </w:p>
    <w:p w14:paraId="272E3126" w14:textId="77777777" w:rsidR="00DF55A5" w:rsidRDefault="00DF55A5" w:rsidP="003E2C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313B8AC" w14:textId="588FFEC8" w:rsidR="00EF2D2E" w:rsidRDefault="00EF2D2E" w:rsidP="009309CF">
      <w:pPr>
        <w:spacing w:after="0" w:line="360" w:lineRule="auto"/>
        <w:jc w:val="center"/>
        <w:rPr>
          <w:rFonts w:ascii="Arial" w:hAnsi="Arial" w:cs="Arial"/>
          <w:b/>
        </w:rPr>
      </w:pPr>
      <w:r w:rsidRPr="007D1701">
        <w:rPr>
          <w:rFonts w:ascii="Arial" w:hAnsi="Arial" w:cs="Arial"/>
        </w:rPr>
        <w:lastRenderedPageBreak/>
        <w:t xml:space="preserve">Cartes </w:t>
      </w:r>
      <w:r>
        <w:rPr>
          <w:rFonts w:ascii="Arial" w:hAnsi="Arial" w:cs="Arial"/>
        </w:rPr>
        <w:t>3</w:t>
      </w:r>
      <w:r w:rsidRPr="007D1701">
        <w:rPr>
          <w:rFonts w:ascii="Arial" w:hAnsi="Arial" w:cs="Arial"/>
        </w:rPr>
        <w:t xml:space="preserve">a et </w:t>
      </w:r>
      <w:r>
        <w:rPr>
          <w:rFonts w:ascii="Arial" w:hAnsi="Arial" w:cs="Arial"/>
        </w:rPr>
        <w:t>3</w:t>
      </w:r>
      <w:r w:rsidRPr="007D1701">
        <w:rPr>
          <w:rFonts w:ascii="Arial" w:hAnsi="Arial" w:cs="Arial"/>
        </w:rPr>
        <w:t>b –</w:t>
      </w:r>
      <w:r w:rsidRPr="007D170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Évolutions </w:t>
      </w:r>
      <w:r w:rsidR="00144296">
        <w:rPr>
          <w:rFonts w:ascii="Arial" w:hAnsi="Arial" w:cs="Arial"/>
          <w:b/>
        </w:rPr>
        <w:t xml:space="preserve">régionales </w:t>
      </w:r>
      <w:r w:rsidRPr="007D1701">
        <w:rPr>
          <w:rFonts w:ascii="Arial" w:hAnsi="Arial" w:cs="Arial"/>
        </w:rPr>
        <w:t>(en %</w:t>
      </w:r>
      <w:r>
        <w:rPr>
          <w:rFonts w:ascii="Arial" w:hAnsi="Arial" w:cs="Arial"/>
        </w:rPr>
        <w:t>, en glissement annuel</w:t>
      </w:r>
      <w:r w:rsidRPr="007D1701">
        <w:rPr>
          <w:rFonts w:ascii="Arial" w:hAnsi="Arial" w:cs="Arial"/>
        </w:rPr>
        <w:t>)</w:t>
      </w:r>
      <w:r>
        <w:rPr>
          <w:rFonts w:ascii="Arial" w:hAnsi="Arial" w:cs="Arial"/>
          <w:b/>
        </w:rPr>
        <w:t xml:space="preserve"> sur </w:t>
      </w:r>
      <w:r w:rsidR="0063190A">
        <w:rPr>
          <w:rFonts w:ascii="Arial" w:hAnsi="Arial" w:cs="Arial"/>
          <w:b/>
        </w:rPr>
        <w:t>douze</w:t>
      </w:r>
      <w:r>
        <w:rPr>
          <w:rFonts w:ascii="Arial" w:hAnsi="Arial" w:cs="Arial"/>
          <w:b/>
        </w:rPr>
        <w:t xml:space="preserve"> mois</w:t>
      </w:r>
    </w:p>
    <w:p w14:paraId="66A078EC" w14:textId="5A5D4B13" w:rsidR="00EF2D2E" w:rsidRDefault="00EF2D2E" w:rsidP="00E82DAB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à fin </w:t>
      </w:r>
      <w:r w:rsidR="00743408">
        <w:rPr>
          <w:rFonts w:ascii="Arial" w:hAnsi="Arial" w:cs="Arial"/>
          <w:b/>
        </w:rPr>
        <w:t>juillet</w:t>
      </w:r>
      <w:r w:rsidR="00144296">
        <w:rPr>
          <w:rFonts w:ascii="Arial" w:hAnsi="Arial" w:cs="Arial"/>
          <w:b/>
        </w:rPr>
        <w:t xml:space="preserve"> 2019</w:t>
      </w:r>
      <w:r>
        <w:rPr>
          <w:rFonts w:ascii="Arial" w:hAnsi="Arial" w:cs="Arial"/>
          <w:b/>
        </w:rPr>
        <w:t xml:space="preserve"> des </w:t>
      </w:r>
      <w:r w:rsidR="001C3E50">
        <w:rPr>
          <w:rFonts w:ascii="Arial" w:hAnsi="Arial" w:cs="Arial"/>
          <w:b/>
        </w:rPr>
        <w:t xml:space="preserve">surfaces autorisées et commencées </w:t>
      </w:r>
      <w:r>
        <w:rPr>
          <w:rFonts w:ascii="Arial" w:hAnsi="Arial" w:cs="Arial"/>
          <w:b/>
        </w:rPr>
        <w:t>de bâtiments non résidentiels neufs</w:t>
      </w:r>
      <w:r w:rsidR="0063190A">
        <w:rPr>
          <w:rFonts w:ascii="Arial" w:hAnsi="Arial" w:cs="Arial"/>
          <w:b/>
        </w:rPr>
        <w:t xml:space="preserve"> </w:t>
      </w:r>
      <w:r w:rsidR="003E2628" w:rsidRPr="003E2628">
        <w:rPr>
          <w:rFonts w:ascii="Arial" w:hAnsi="Arial" w:cs="Arial"/>
        </w:rPr>
        <w:t>(hors locaux agricoles)</w:t>
      </w:r>
    </w:p>
    <w:p w14:paraId="39C89C2B" w14:textId="6053F2E2" w:rsidR="00EF2D2E" w:rsidRPr="00907778" w:rsidRDefault="00A60570" w:rsidP="00E44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fr-FR"/>
        </w:rPr>
        <w:drawing>
          <wp:inline distT="0" distB="0" distL="0" distR="0" wp14:anchorId="0F99B919" wp14:editId="43A89895">
            <wp:extent cx="5760720" cy="2658110"/>
            <wp:effectExtent l="0" t="0" r="0" b="88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ns titre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EED7" w14:textId="66AFC8E1" w:rsidR="00EF2D2E" w:rsidRPr="00233A34" w:rsidRDefault="00D77D4C" w:rsidP="00731C15">
      <w:pPr>
        <w:spacing w:before="30" w:after="0" w:line="240" w:lineRule="auto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Source : M</w:t>
      </w:r>
      <w:r w:rsidR="00EF2D2E" w:rsidRPr="00233A34">
        <w:rPr>
          <w:rFonts w:ascii="Arial" w:hAnsi="Arial" w:cs="Arial"/>
          <w:i/>
          <w:sz w:val="20"/>
          <w:szCs w:val="20"/>
        </w:rPr>
        <w:t>T</w:t>
      </w:r>
      <w:r>
        <w:rPr>
          <w:rFonts w:ascii="Arial" w:hAnsi="Arial" w:cs="Arial"/>
          <w:i/>
          <w:sz w:val="20"/>
          <w:szCs w:val="20"/>
        </w:rPr>
        <w:t>ES</w:t>
      </w:r>
      <w:r w:rsidR="007132F7">
        <w:rPr>
          <w:rFonts w:ascii="Arial" w:hAnsi="Arial" w:cs="Arial"/>
          <w:i/>
          <w:sz w:val="20"/>
          <w:szCs w:val="20"/>
        </w:rPr>
        <w:t>/</w:t>
      </w:r>
      <w:r w:rsidR="00EF2D2E" w:rsidRPr="00233A34">
        <w:rPr>
          <w:rFonts w:ascii="Arial" w:hAnsi="Arial" w:cs="Arial"/>
          <w:i/>
          <w:sz w:val="20"/>
          <w:szCs w:val="20"/>
        </w:rPr>
        <w:t>CGDD</w:t>
      </w:r>
      <w:r w:rsidR="007132F7">
        <w:rPr>
          <w:rFonts w:ascii="Arial" w:hAnsi="Arial" w:cs="Arial"/>
          <w:i/>
          <w:sz w:val="20"/>
          <w:szCs w:val="20"/>
        </w:rPr>
        <w:t>/</w:t>
      </w:r>
      <w:r w:rsidR="00EF2D2E" w:rsidRPr="00233A34">
        <w:rPr>
          <w:rFonts w:ascii="Arial" w:hAnsi="Arial" w:cs="Arial"/>
          <w:i/>
          <w:sz w:val="20"/>
          <w:szCs w:val="20"/>
        </w:rPr>
        <w:t xml:space="preserve">SDES, </w:t>
      </w:r>
      <w:r w:rsidR="007132F7">
        <w:rPr>
          <w:rFonts w:ascii="Arial" w:hAnsi="Arial" w:cs="Arial"/>
          <w:i/>
          <w:sz w:val="20"/>
          <w:szCs w:val="20"/>
        </w:rPr>
        <w:t>Sit@del2</w:t>
      </w:r>
    </w:p>
    <w:p w14:paraId="2BC81633" w14:textId="77777777" w:rsidR="00385EBD" w:rsidRDefault="00385EBD" w:rsidP="00385EBD">
      <w:pPr>
        <w:spacing w:after="0" w:line="360" w:lineRule="auto"/>
        <w:rPr>
          <w:rFonts w:ascii="Arial" w:hAnsi="Arial" w:cs="Arial"/>
          <w:u w:val="single"/>
        </w:rPr>
      </w:pPr>
    </w:p>
    <w:p w14:paraId="56E46518" w14:textId="198BB6C3" w:rsidR="00EF2D2E" w:rsidRPr="00EA0536" w:rsidRDefault="00EF2D2E" w:rsidP="00E444BA">
      <w:pPr>
        <w:spacing w:after="0" w:line="360" w:lineRule="auto"/>
        <w:jc w:val="both"/>
        <w:rPr>
          <w:rFonts w:ascii="Arial" w:hAnsi="Arial" w:cs="Arial"/>
          <w:u w:val="single"/>
        </w:rPr>
      </w:pPr>
      <w:r w:rsidRPr="00EA0536">
        <w:rPr>
          <w:rFonts w:ascii="Arial" w:hAnsi="Arial" w:cs="Arial"/>
          <w:u w:val="single"/>
        </w:rPr>
        <w:t>2.3 L’amélioration-entretien</w:t>
      </w:r>
    </w:p>
    <w:p w14:paraId="13073997" w14:textId="6EDD08A1" w:rsidR="00EF2D2E" w:rsidRDefault="00EF2D2E" w:rsidP="007D2A10">
      <w:pPr>
        <w:pStyle w:val="Sansinterligne"/>
        <w:spacing w:line="360" w:lineRule="auto"/>
        <w:jc w:val="both"/>
      </w:pPr>
    </w:p>
    <w:p w14:paraId="2579B3AE" w14:textId="340233DA" w:rsidR="00FB32B3" w:rsidRPr="00FB32B3" w:rsidRDefault="00D350EA" w:rsidP="00D350EA">
      <w:pPr>
        <w:pStyle w:val="Sansinterligne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</w:t>
      </w:r>
      <w:r w:rsidR="003223A7">
        <w:rPr>
          <w:rFonts w:ascii="Arial" w:hAnsi="Arial" w:cs="Arial"/>
        </w:rPr>
        <w:t xml:space="preserve">activité en </w:t>
      </w:r>
      <w:r w:rsidR="00DF55A5">
        <w:rPr>
          <w:rFonts w:ascii="Arial" w:hAnsi="Arial" w:cs="Arial"/>
        </w:rPr>
        <w:t xml:space="preserve">amélioration-entretien </w:t>
      </w:r>
      <w:r>
        <w:rPr>
          <w:rFonts w:ascii="Arial" w:hAnsi="Arial" w:cs="Arial"/>
        </w:rPr>
        <w:t>s’</w:t>
      </w:r>
      <w:r w:rsidR="003223A7">
        <w:rPr>
          <w:rFonts w:ascii="Arial" w:hAnsi="Arial" w:cs="Arial"/>
        </w:rPr>
        <w:t>est</w:t>
      </w:r>
      <w:r>
        <w:rPr>
          <w:rFonts w:ascii="Arial" w:hAnsi="Arial" w:cs="Arial"/>
        </w:rPr>
        <w:t xml:space="preserve"> contractée </w:t>
      </w:r>
      <w:r w:rsidR="003223A7">
        <w:rPr>
          <w:rFonts w:ascii="Arial" w:hAnsi="Arial" w:cs="Arial"/>
        </w:rPr>
        <w:t>de 0,8 </w:t>
      </w:r>
      <w:r w:rsidR="00DF55A5" w:rsidRPr="007D2A10">
        <w:rPr>
          <w:rFonts w:ascii="Arial" w:hAnsi="Arial" w:cs="Arial"/>
        </w:rPr>
        <w:t xml:space="preserve">% en </w:t>
      </w:r>
      <w:r w:rsidR="00A60570">
        <w:rPr>
          <w:rFonts w:ascii="Arial" w:hAnsi="Arial" w:cs="Arial"/>
        </w:rPr>
        <w:t xml:space="preserve">glissement annuel </w:t>
      </w:r>
      <w:r w:rsidR="003223A7">
        <w:rPr>
          <w:rFonts w:ascii="Arial" w:hAnsi="Arial" w:cs="Arial"/>
        </w:rPr>
        <w:t xml:space="preserve">sur le premier semestre, </w:t>
      </w:r>
      <w:r w:rsidR="00A60570">
        <w:rPr>
          <w:rFonts w:ascii="Arial" w:hAnsi="Arial" w:cs="Arial"/>
        </w:rPr>
        <w:t>hors effet prix</w:t>
      </w:r>
      <w:r>
        <w:rPr>
          <w:rFonts w:ascii="Arial" w:hAnsi="Arial" w:cs="Arial"/>
        </w:rPr>
        <w:t>, avec toutefois un début de reprise depuis le printemps</w:t>
      </w:r>
      <w:r w:rsidR="00DF55A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Ainsi, selon </w:t>
      </w:r>
      <w:r w:rsidR="007D2A10">
        <w:rPr>
          <w:rFonts w:ascii="Arial" w:hAnsi="Arial" w:cs="Arial"/>
        </w:rPr>
        <w:t>l</w:t>
      </w:r>
      <w:r w:rsidR="00FB32B3" w:rsidRPr="00FB32B3">
        <w:rPr>
          <w:rFonts w:ascii="Arial" w:hAnsi="Arial" w:cs="Arial"/>
        </w:rPr>
        <w:t xml:space="preserve">es résultats de l’enquête </w:t>
      </w:r>
      <w:r w:rsidR="007D2A10">
        <w:rPr>
          <w:rFonts w:ascii="Arial" w:hAnsi="Arial" w:cs="Arial"/>
        </w:rPr>
        <w:t>du</w:t>
      </w:r>
      <w:r w:rsidR="00FB32B3" w:rsidRPr="00FB32B3">
        <w:rPr>
          <w:rFonts w:ascii="Arial" w:hAnsi="Arial" w:cs="Arial"/>
        </w:rPr>
        <w:t xml:space="preserve"> réseau des CERC, </w:t>
      </w:r>
      <w:r w:rsidR="007D2A10">
        <w:rPr>
          <w:rFonts w:ascii="Arial" w:hAnsi="Arial" w:cs="Arial"/>
        </w:rPr>
        <w:t xml:space="preserve">après un </w:t>
      </w:r>
      <w:r w:rsidR="007D2A10" w:rsidRPr="007D2A10">
        <w:rPr>
          <w:rFonts w:ascii="Arial" w:hAnsi="Arial" w:cs="Arial"/>
        </w:rPr>
        <w:t>premier trimestre</w:t>
      </w:r>
      <w:r w:rsidR="007D2A10">
        <w:rPr>
          <w:rFonts w:ascii="Arial" w:hAnsi="Arial" w:cs="Arial"/>
        </w:rPr>
        <w:t xml:space="preserve"> </w:t>
      </w:r>
      <w:r w:rsidR="007D2A10" w:rsidRPr="007D2A10">
        <w:rPr>
          <w:rFonts w:ascii="Arial" w:hAnsi="Arial" w:cs="Arial"/>
        </w:rPr>
        <w:t xml:space="preserve">particulièrement mauvais à </w:t>
      </w:r>
      <w:r w:rsidR="007D2A10">
        <w:rPr>
          <w:rFonts w:ascii="Arial" w:hAnsi="Arial" w:cs="Arial"/>
        </w:rPr>
        <w:t>-</w:t>
      </w:r>
      <w:r w:rsidR="007D2A10" w:rsidRPr="007D2A10">
        <w:rPr>
          <w:rFonts w:ascii="Arial" w:hAnsi="Arial" w:cs="Arial"/>
        </w:rPr>
        <w:t>2,3</w:t>
      </w:r>
      <w:r w:rsidR="007D2A10">
        <w:rPr>
          <w:rFonts w:ascii="Arial" w:hAnsi="Arial" w:cs="Arial"/>
        </w:rPr>
        <w:t> </w:t>
      </w:r>
      <w:r w:rsidR="007D2A10" w:rsidRPr="007D2A10">
        <w:rPr>
          <w:rFonts w:ascii="Arial" w:hAnsi="Arial" w:cs="Arial"/>
        </w:rPr>
        <w:t>%</w:t>
      </w:r>
      <w:r w:rsidR="007D2A10">
        <w:rPr>
          <w:rFonts w:ascii="Arial" w:hAnsi="Arial" w:cs="Arial"/>
        </w:rPr>
        <w:t xml:space="preserve"> (cf. graphique </w:t>
      </w:r>
      <w:r>
        <w:rPr>
          <w:rFonts w:ascii="Arial" w:hAnsi="Arial" w:cs="Arial"/>
        </w:rPr>
        <w:t xml:space="preserve">7), </w:t>
      </w:r>
      <w:r w:rsidR="00FB32B3" w:rsidRPr="00FB32B3">
        <w:rPr>
          <w:rFonts w:ascii="Arial" w:hAnsi="Arial" w:cs="Arial"/>
        </w:rPr>
        <w:t xml:space="preserve">le deuxième trimestre </w:t>
      </w:r>
      <w:r>
        <w:rPr>
          <w:rFonts w:ascii="Arial" w:hAnsi="Arial" w:cs="Arial"/>
        </w:rPr>
        <w:t xml:space="preserve">marque </w:t>
      </w:r>
      <w:r w:rsidR="00FB32B3" w:rsidRPr="00FB32B3">
        <w:rPr>
          <w:rFonts w:ascii="Arial" w:hAnsi="Arial" w:cs="Arial"/>
        </w:rPr>
        <w:t>une inflexion</w:t>
      </w:r>
      <w:r w:rsidR="00DF55A5">
        <w:rPr>
          <w:rFonts w:ascii="Arial" w:hAnsi="Arial" w:cs="Arial"/>
        </w:rPr>
        <w:t xml:space="preserve"> de tendance</w:t>
      </w:r>
      <w:r>
        <w:rPr>
          <w:rFonts w:ascii="Arial" w:hAnsi="Arial" w:cs="Arial"/>
        </w:rPr>
        <w:t xml:space="preserve"> avec une</w:t>
      </w:r>
      <w:r w:rsidR="00FB32B3" w:rsidRPr="00FB32B3">
        <w:rPr>
          <w:rFonts w:ascii="Arial" w:hAnsi="Arial" w:cs="Arial"/>
        </w:rPr>
        <w:t xml:space="preserve"> petite hausse de 0,</w:t>
      </w:r>
      <w:r>
        <w:rPr>
          <w:rFonts w:ascii="Arial" w:hAnsi="Arial" w:cs="Arial"/>
        </w:rPr>
        <w:t>5</w:t>
      </w:r>
      <w:r w:rsidR="003223A7">
        <w:rPr>
          <w:rFonts w:ascii="Arial" w:hAnsi="Arial" w:cs="Arial"/>
        </w:rPr>
        <w:t> </w:t>
      </w:r>
      <w:r w:rsidR="00FB32B3" w:rsidRPr="00FB32B3">
        <w:rPr>
          <w:rFonts w:ascii="Arial" w:hAnsi="Arial" w:cs="Arial"/>
        </w:rPr>
        <w:t xml:space="preserve">% </w:t>
      </w:r>
      <w:r>
        <w:rPr>
          <w:rFonts w:ascii="Arial" w:hAnsi="Arial" w:cs="Arial"/>
        </w:rPr>
        <w:t xml:space="preserve">par rapport au </w:t>
      </w:r>
      <w:r w:rsidR="00FB32B3" w:rsidRPr="00FB32B3">
        <w:rPr>
          <w:rFonts w:ascii="Arial" w:hAnsi="Arial" w:cs="Arial"/>
        </w:rPr>
        <w:t>deuxième trimestre 201</w:t>
      </w:r>
      <w:r>
        <w:rPr>
          <w:rFonts w:ascii="Arial" w:hAnsi="Arial" w:cs="Arial"/>
        </w:rPr>
        <w:t xml:space="preserve">8, bénéficiant </w:t>
      </w:r>
      <w:r w:rsidR="00A60570">
        <w:rPr>
          <w:rFonts w:ascii="Arial" w:hAnsi="Arial" w:cs="Arial"/>
        </w:rPr>
        <w:t xml:space="preserve">d’abord </w:t>
      </w:r>
      <w:r>
        <w:rPr>
          <w:rFonts w:ascii="Arial" w:hAnsi="Arial" w:cs="Arial"/>
        </w:rPr>
        <w:t>au logement (+0,5 %)</w:t>
      </w:r>
      <w:r w:rsidR="00FB32B3" w:rsidRPr="00FB32B3">
        <w:rPr>
          <w:rFonts w:ascii="Arial" w:hAnsi="Arial" w:cs="Arial"/>
        </w:rPr>
        <w:t>.</w:t>
      </w:r>
    </w:p>
    <w:p w14:paraId="20D5A4E1" w14:textId="1953ED43" w:rsidR="00FB32B3" w:rsidRDefault="00FB32B3" w:rsidP="003223A7">
      <w:pPr>
        <w:pStyle w:val="Sansinterligne"/>
      </w:pPr>
    </w:p>
    <w:p w14:paraId="1D7A5EA0" w14:textId="631989E8" w:rsidR="00042E8B" w:rsidRDefault="003223A7" w:rsidP="00042E8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Sur le champ des</w:t>
      </w:r>
      <w:r w:rsidR="00042E8B" w:rsidRPr="00FB32B3">
        <w:rPr>
          <w:rFonts w:ascii="Arial" w:hAnsi="Arial" w:cs="Arial"/>
        </w:rPr>
        <w:t xml:space="preserve"> seuls travaux de rénovation énergétique, on observe un redressement de 0,</w:t>
      </w:r>
      <w:r w:rsidR="00A60570">
        <w:rPr>
          <w:rFonts w:ascii="Arial" w:hAnsi="Arial" w:cs="Arial"/>
        </w:rPr>
        <w:t>4</w:t>
      </w:r>
      <w:r>
        <w:rPr>
          <w:rFonts w:ascii="Arial" w:hAnsi="Arial" w:cs="Arial"/>
        </w:rPr>
        <w:t> </w:t>
      </w:r>
      <w:r w:rsidR="00042E8B" w:rsidRPr="00FB32B3">
        <w:rPr>
          <w:rFonts w:ascii="Arial" w:hAnsi="Arial" w:cs="Arial"/>
        </w:rPr>
        <w:t>% au deuxième trimestre 2019 par rapport au deuxième trimestre 2018</w:t>
      </w:r>
      <w:r w:rsidR="00BB1021">
        <w:rPr>
          <w:rFonts w:ascii="Arial" w:hAnsi="Arial" w:cs="Arial"/>
        </w:rPr>
        <w:t xml:space="preserve"> (cf. graphique 8)</w:t>
      </w:r>
      <w:r w:rsidR="00042E8B" w:rsidRPr="00FB32B3">
        <w:rPr>
          <w:rFonts w:ascii="Arial" w:hAnsi="Arial" w:cs="Arial"/>
        </w:rPr>
        <w:t xml:space="preserve">, avec toutefois de fortes disparités entre logement </w:t>
      </w:r>
      <w:r>
        <w:rPr>
          <w:rFonts w:ascii="Arial" w:hAnsi="Arial" w:cs="Arial"/>
        </w:rPr>
        <w:t xml:space="preserve">quasi-stable </w:t>
      </w:r>
      <w:r w:rsidR="00042E8B" w:rsidRPr="00FB32B3">
        <w:rPr>
          <w:rFonts w:ascii="Arial" w:hAnsi="Arial" w:cs="Arial"/>
        </w:rPr>
        <w:t>(+0,</w:t>
      </w:r>
      <w:r w:rsidR="00A60570">
        <w:rPr>
          <w:rFonts w:ascii="Arial" w:hAnsi="Arial" w:cs="Arial"/>
        </w:rPr>
        <w:t>2</w:t>
      </w:r>
      <w:r>
        <w:rPr>
          <w:rFonts w:ascii="Arial" w:hAnsi="Arial" w:cs="Arial"/>
        </w:rPr>
        <w:t> </w:t>
      </w:r>
      <w:r w:rsidR="00042E8B" w:rsidRPr="00FB32B3">
        <w:rPr>
          <w:rFonts w:ascii="Arial" w:hAnsi="Arial" w:cs="Arial"/>
        </w:rPr>
        <w:t xml:space="preserve">%) et non résidentiel </w:t>
      </w:r>
      <w:r>
        <w:rPr>
          <w:rFonts w:ascii="Arial" w:hAnsi="Arial" w:cs="Arial"/>
        </w:rPr>
        <w:t xml:space="preserve">assez dynamique </w:t>
      </w:r>
      <w:r w:rsidR="00042E8B" w:rsidRPr="00FB32B3">
        <w:rPr>
          <w:rFonts w:ascii="Arial" w:hAnsi="Arial" w:cs="Arial"/>
        </w:rPr>
        <w:t>(+2,</w:t>
      </w:r>
      <w:r w:rsidR="00A60570">
        <w:rPr>
          <w:rFonts w:ascii="Arial" w:hAnsi="Arial" w:cs="Arial"/>
        </w:rPr>
        <w:t>7</w:t>
      </w:r>
      <w:r>
        <w:rPr>
          <w:rFonts w:ascii="Arial" w:hAnsi="Arial" w:cs="Arial"/>
        </w:rPr>
        <w:t> </w:t>
      </w:r>
      <w:r w:rsidR="00042E8B" w:rsidRPr="00FB32B3">
        <w:rPr>
          <w:rFonts w:ascii="Arial" w:hAnsi="Arial" w:cs="Arial"/>
        </w:rPr>
        <w:t>%).</w:t>
      </w:r>
    </w:p>
    <w:p w14:paraId="43C1E2CE" w14:textId="77777777" w:rsidR="00042E8B" w:rsidRDefault="00042E8B" w:rsidP="007D2A10">
      <w:pPr>
        <w:spacing w:after="0" w:line="360" w:lineRule="auto"/>
        <w:jc w:val="both"/>
        <w:rPr>
          <w:rFonts w:ascii="Arial" w:hAnsi="Arial" w:cs="Arial"/>
        </w:rPr>
      </w:pPr>
    </w:p>
    <w:p w14:paraId="033471D1" w14:textId="77777777" w:rsidR="00042E8B" w:rsidRDefault="00042E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113852A" w14:textId="20414658" w:rsidR="00BB5564" w:rsidRDefault="00BB5564" w:rsidP="00BB5564">
      <w:pPr>
        <w:spacing w:after="0" w:line="312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Graphique </w:t>
      </w:r>
      <w:r w:rsidR="0000025A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– </w:t>
      </w:r>
      <w:r w:rsidRPr="00BB338D">
        <w:rPr>
          <w:rFonts w:ascii="Arial" w:hAnsi="Arial" w:cs="Arial"/>
          <w:b/>
        </w:rPr>
        <w:t>Évolutions</w:t>
      </w:r>
      <w:r>
        <w:rPr>
          <w:rFonts w:ascii="Arial" w:hAnsi="Arial" w:cs="Arial"/>
        </w:rPr>
        <w:t xml:space="preserve"> (en %, en volume, en glissement annuel) </w:t>
      </w:r>
      <w:r w:rsidRPr="00BB338D">
        <w:rPr>
          <w:rFonts w:ascii="Arial" w:hAnsi="Arial" w:cs="Arial"/>
          <w:b/>
        </w:rPr>
        <w:t>de l’activité</w:t>
      </w:r>
      <w:r>
        <w:rPr>
          <w:rFonts w:ascii="Arial" w:hAnsi="Arial" w:cs="Arial"/>
          <w:b/>
        </w:rPr>
        <w:t xml:space="preserve"> d’amélioration-entretien</w:t>
      </w:r>
      <w:r w:rsidRPr="00BB338D">
        <w:rPr>
          <w:rFonts w:ascii="Arial" w:hAnsi="Arial" w:cs="Arial"/>
          <w:b/>
        </w:rPr>
        <w:t xml:space="preserve"> par segment</w:t>
      </w:r>
      <w:r>
        <w:rPr>
          <w:rFonts w:ascii="Arial" w:hAnsi="Arial" w:cs="Arial"/>
        </w:rPr>
        <w:t xml:space="preserve"> </w:t>
      </w:r>
    </w:p>
    <w:p w14:paraId="6203527F" w14:textId="10B49275" w:rsidR="00BB5564" w:rsidRDefault="005A20DE" w:rsidP="00C62D72">
      <w:pPr>
        <w:spacing w:after="0" w:line="360" w:lineRule="auto"/>
        <w:jc w:val="center"/>
        <w:rPr>
          <w:rFonts w:ascii="Arial" w:hAnsi="Arial" w:cs="Arial"/>
        </w:rPr>
      </w:pPr>
      <w:r w:rsidRPr="005A20DE">
        <w:rPr>
          <w:rFonts w:ascii="Arial" w:hAnsi="Arial" w:cs="Arial"/>
          <w:noProof/>
          <w:lang w:eastAsia="fr-FR"/>
        </w:rPr>
        <w:drawing>
          <wp:inline distT="0" distB="0" distL="0" distR="0" wp14:anchorId="48D60CE9" wp14:editId="35DD727B">
            <wp:extent cx="5187600" cy="3168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3799" w14:textId="77777777" w:rsidR="00BB5564" w:rsidRPr="00BB338D" w:rsidRDefault="00BB5564" w:rsidP="00BB5564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BB338D">
        <w:rPr>
          <w:rFonts w:ascii="Arial" w:hAnsi="Arial" w:cs="Arial"/>
          <w:i/>
          <w:sz w:val="20"/>
          <w:szCs w:val="20"/>
        </w:rPr>
        <w:t>Source : FFB</w:t>
      </w:r>
      <w:r>
        <w:rPr>
          <w:rFonts w:ascii="Arial" w:hAnsi="Arial" w:cs="Arial"/>
          <w:i/>
          <w:sz w:val="20"/>
          <w:szCs w:val="20"/>
        </w:rPr>
        <w:t>/Réseau des CERC</w:t>
      </w:r>
    </w:p>
    <w:p w14:paraId="27F1F59E" w14:textId="73ECA916" w:rsidR="0007365E" w:rsidRDefault="0007365E">
      <w:pPr>
        <w:rPr>
          <w:rFonts w:ascii="Arial" w:hAnsi="Arial" w:cs="Arial"/>
        </w:rPr>
      </w:pPr>
    </w:p>
    <w:p w14:paraId="1576768E" w14:textId="6C58DBB7" w:rsidR="00986728" w:rsidRDefault="006A53D0" w:rsidP="006A53D0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Graphique </w:t>
      </w:r>
      <w:r w:rsidR="0000025A">
        <w:rPr>
          <w:rFonts w:ascii="Arial" w:hAnsi="Arial" w:cs="Arial"/>
        </w:rPr>
        <w:t>8</w:t>
      </w:r>
      <w:r w:rsidR="00986728">
        <w:rPr>
          <w:rFonts w:ascii="Arial" w:hAnsi="Arial" w:cs="Arial"/>
        </w:rPr>
        <w:t xml:space="preserve"> – </w:t>
      </w:r>
      <w:r w:rsidR="00986728" w:rsidRPr="00BB338D">
        <w:rPr>
          <w:rFonts w:ascii="Arial" w:hAnsi="Arial" w:cs="Arial"/>
          <w:b/>
        </w:rPr>
        <w:t>Évolutions</w:t>
      </w:r>
      <w:r w:rsidR="00986728">
        <w:rPr>
          <w:rFonts w:ascii="Arial" w:hAnsi="Arial" w:cs="Arial"/>
        </w:rPr>
        <w:t xml:space="preserve"> (en %, en volume, en glissement annuel) </w:t>
      </w:r>
      <w:r w:rsidR="00986728" w:rsidRPr="00BB338D">
        <w:rPr>
          <w:rFonts w:ascii="Arial" w:hAnsi="Arial" w:cs="Arial"/>
          <w:b/>
        </w:rPr>
        <w:t>de l’activité</w:t>
      </w:r>
      <w:r w:rsidR="00986728">
        <w:rPr>
          <w:rFonts w:ascii="Arial" w:hAnsi="Arial" w:cs="Arial"/>
          <w:b/>
        </w:rPr>
        <w:t xml:space="preserve"> de rénovation énergétique </w:t>
      </w:r>
      <w:r w:rsidR="00986728" w:rsidRPr="00BB338D">
        <w:rPr>
          <w:rFonts w:ascii="Arial" w:hAnsi="Arial" w:cs="Arial"/>
          <w:b/>
        </w:rPr>
        <w:t>par segment</w:t>
      </w:r>
      <w:r w:rsidR="00986728">
        <w:rPr>
          <w:rFonts w:ascii="Arial" w:hAnsi="Arial" w:cs="Arial"/>
        </w:rPr>
        <w:t xml:space="preserve"> </w:t>
      </w:r>
    </w:p>
    <w:p w14:paraId="14FFB216" w14:textId="1632BAA8" w:rsidR="00986728" w:rsidRDefault="00FB32B3" w:rsidP="00986728">
      <w:pPr>
        <w:spacing w:after="0" w:line="360" w:lineRule="auto"/>
        <w:jc w:val="center"/>
        <w:rPr>
          <w:rFonts w:ascii="Arial" w:hAnsi="Arial" w:cs="Arial"/>
        </w:rPr>
      </w:pPr>
      <w:r w:rsidRPr="00FB32B3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6AF9BB14" wp14:editId="0492726D">
            <wp:extent cx="5187600" cy="3168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5C1C" w14:textId="77777777" w:rsidR="00986728" w:rsidRPr="00BB338D" w:rsidRDefault="00986728" w:rsidP="006A53D0">
      <w:pPr>
        <w:spacing w:after="0" w:line="360" w:lineRule="auto"/>
        <w:jc w:val="center"/>
        <w:rPr>
          <w:rFonts w:ascii="Arial" w:hAnsi="Arial" w:cs="Arial"/>
          <w:i/>
          <w:sz w:val="20"/>
          <w:szCs w:val="20"/>
        </w:rPr>
      </w:pPr>
      <w:r w:rsidRPr="00BB338D">
        <w:rPr>
          <w:rFonts w:ascii="Arial" w:hAnsi="Arial" w:cs="Arial"/>
          <w:i/>
          <w:sz w:val="20"/>
          <w:szCs w:val="20"/>
        </w:rPr>
        <w:t>Source : FFB</w:t>
      </w:r>
      <w:r>
        <w:rPr>
          <w:rFonts w:ascii="Arial" w:hAnsi="Arial" w:cs="Arial"/>
          <w:i/>
          <w:sz w:val="20"/>
          <w:szCs w:val="20"/>
        </w:rPr>
        <w:t>/Réseau des CERC</w:t>
      </w:r>
    </w:p>
    <w:p w14:paraId="028A94E3" w14:textId="77777777" w:rsidR="00986728" w:rsidRDefault="00986728" w:rsidP="006A53D0">
      <w:pPr>
        <w:spacing w:after="0" w:line="360" w:lineRule="auto"/>
        <w:jc w:val="both"/>
        <w:rPr>
          <w:rFonts w:ascii="Arial" w:hAnsi="Arial" w:cs="Arial"/>
        </w:rPr>
      </w:pPr>
    </w:p>
    <w:p w14:paraId="421C1F0B" w14:textId="173D307C" w:rsidR="00FB32B3" w:rsidRDefault="005F1300" w:rsidP="00FB32B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Concernant les perspectives du troisième trimestre, les soldes d’opinion </w:t>
      </w:r>
      <w:r w:rsidR="003223A7">
        <w:rPr>
          <w:rFonts w:ascii="Arial" w:hAnsi="Arial" w:cs="Arial"/>
        </w:rPr>
        <w:t xml:space="preserve">tirés </w:t>
      </w:r>
      <w:r>
        <w:rPr>
          <w:rFonts w:ascii="Arial" w:hAnsi="Arial" w:cs="Arial"/>
        </w:rPr>
        <w:t xml:space="preserve">des enquêtes Insee et du réseau des CERC </w:t>
      </w:r>
      <w:r w:rsidR="00C440B0">
        <w:rPr>
          <w:rFonts w:ascii="Arial" w:hAnsi="Arial" w:cs="Arial"/>
        </w:rPr>
        <w:t>indiquent que l’</w:t>
      </w:r>
      <w:r w:rsidR="00FB32B3">
        <w:rPr>
          <w:rFonts w:ascii="Arial" w:hAnsi="Arial" w:cs="Arial"/>
        </w:rPr>
        <w:t>activité rester</w:t>
      </w:r>
      <w:r w:rsidR="003223A7">
        <w:rPr>
          <w:rFonts w:ascii="Arial" w:hAnsi="Arial" w:cs="Arial"/>
        </w:rPr>
        <w:t>ait</w:t>
      </w:r>
      <w:r w:rsidR="00FB32B3">
        <w:rPr>
          <w:rFonts w:ascii="Arial" w:hAnsi="Arial" w:cs="Arial"/>
        </w:rPr>
        <w:t xml:space="preserve"> assez bien orientée.</w:t>
      </w:r>
    </w:p>
    <w:p w14:paraId="71E8C1D3" w14:textId="1A102B30" w:rsidR="00FF5695" w:rsidRDefault="007E3236" w:rsidP="00FB32B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À l’échelon infra-national, toutes les régions, hormis l’Île-de-France, ont vu leur activité augmenter au deuxième trimestre 2019 par rapport à la même période un an auparavant (cf. carte 4a). Quant aux perspectives, elles ressortent les </w:t>
      </w:r>
      <w:r w:rsidR="00CA1468">
        <w:rPr>
          <w:rFonts w:ascii="Arial" w:hAnsi="Arial" w:cs="Arial"/>
        </w:rPr>
        <w:t xml:space="preserve">plus favorables </w:t>
      </w:r>
      <w:r w:rsidR="003223A7">
        <w:rPr>
          <w:rFonts w:ascii="Arial" w:hAnsi="Arial" w:cs="Arial"/>
        </w:rPr>
        <w:t>dans la moitié n</w:t>
      </w:r>
      <w:r>
        <w:rPr>
          <w:rFonts w:ascii="Arial" w:hAnsi="Arial" w:cs="Arial"/>
        </w:rPr>
        <w:t>ord de la France, si l’on excepte la Bretagne et l’Île-de-France (cf. carte 4b).</w:t>
      </w:r>
    </w:p>
    <w:p w14:paraId="773547A7" w14:textId="77777777" w:rsidR="00034E56" w:rsidRPr="00C62D72" w:rsidRDefault="00034E56" w:rsidP="00FB32B3">
      <w:pPr>
        <w:spacing w:after="0" w:line="360" w:lineRule="auto"/>
        <w:jc w:val="both"/>
        <w:rPr>
          <w:rFonts w:ascii="Arial" w:hAnsi="Arial" w:cs="Arial"/>
        </w:rPr>
      </w:pPr>
    </w:p>
    <w:p w14:paraId="688810B7" w14:textId="317EB4B8" w:rsidR="00DD4403" w:rsidRDefault="00DD4403" w:rsidP="006A53D0">
      <w:pPr>
        <w:spacing w:after="0" w:line="360" w:lineRule="auto"/>
        <w:jc w:val="center"/>
        <w:rPr>
          <w:rFonts w:ascii="Arial" w:hAnsi="Arial" w:cs="Arial"/>
          <w:b/>
        </w:rPr>
      </w:pPr>
      <w:r w:rsidRPr="007D1701">
        <w:rPr>
          <w:rFonts w:ascii="Arial" w:hAnsi="Arial" w:cs="Arial"/>
        </w:rPr>
        <w:t xml:space="preserve">Cartes </w:t>
      </w:r>
      <w:r>
        <w:rPr>
          <w:rFonts w:ascii="Arial" w:hAnsi="Arial" w:cs="Arial"/>
        </w:rPr>
        <w:t>4</w:t>
      </w:r>
      <w:r w:rsidRPr="007D1701">
        <w:rPr>
          <w:rFonts w:ascii="Arial" w:hAnsi="Arial" w:cs="Arial"/>
        </w:rPr>
        <w:t xml:space="preserve">a et </w:t>
      </w:r>
      <w:r>
        <w:rPr>
          <w:rFonts w:ascii="Arial" w:hAnsi="Arial" w:cs="Arial"/>
        </w:rPr>
        <w:t>4</w:t>
      </w:r>
      <w:r w:rsidRPr="007D1701">
        <w:rPr>
          <w:rFonts w:ascii="Arial" w:hAnsi="Arial" w:cs="Arial"/>
        </w:rPr>
        <w:t>b –</w:t>
      </w:r>
      <w:r w:rsidR="003E2628">
        <w:rPr>
          <w:rFonts w:ascii="Arial" w:hAnsi="Arial" w:cs="Arial"/>
        </w:rPr>
        <w:t xml:space="preserve"> </w:t>
      </w:r>
      <w:r w:rsidR="00A82D2E" w:rsidRPr="00A82D2E">
        <w:rPr>
          <w:rFonts w:ascii="Arial" w:hAnsi="Arial" w:cs="Arial"/>
          <w:b/>
        </w:rPr>
        <w:t>Tendances du</w:t>
      </w:r>
      <w:r w:rsidR="00A82D2E">
        <w:rPr>
          <w:rFonts w:ascii="Arial" w:hAnsi="Arial" w:cs="Arial"/>
        </w:rPr>
        <w:t xml:space="preserve"> </w:t>
      </w:r>
      <w:r w:rsidR="00DB30B4" w:rsidRPr="003E2628">
        <w:rPr>
          <w:rFonts w:ascii="Arial" w:hAnsi="Arial" w:cs="Arial"/>
          <w:b/>
        </w:rPr>
        <w:t>m</w:t>
      </w:r>
      <w:r w:rsidR="00DB30B4">
        <w:rPr>
          <w:rFonts w:ascii="Arial" w:hAnsi="Arial" w:cs="Arial"/>
          <w:b/>
        </w:rPr>
        <w:t>arché de</w:t>
      </w:r>
      <w:r>
        <w:rPr>
          <w:rFonts w:ascii="Arial" w:hAnsi="Arial" w:cs="Arial"/>
          <w:b/>
        </w:rPr>
        <w:t xml:space="preserve"> </w:t>
      </w:r>
      <w:r w:rsidR="00DB30B4">
        <w:rPr>
          <w:rFonts w:ascii="Arial" w:hAnsi="Arial" w:cs="Arial"/>
          <w:b/>
        </w:rPr>
        <w:t>l’amélioration-entretien</w:t>
      </w:r>
      <w:r>
        <w:rPr>
          <w:rFonts w:ascii="Arial" w:hAnsi="Arial" w:cs="Arial"/>
          <w:b/>
        </w:rPr>
        <w:t xml:space="preserve"> </w:t>
      </w:r>
    </w:p>
    <w:p w14:paraId="46F62A1A" w14:textId="087EC9B7" w:rsidR="00DD4403" w:rsidRPr="00F927A5" w:rsidRDefault="00CA1468" w:rsidP="00DD44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030D20B0" wp14:editId="5F767655">
            <wp:extent cx="5760720" cy="2647315"/>
            <wp:effectExtent l="0" t="0" r="0" b="6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ns titre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F751" w14:textId="66750823" w:rsidR="00DD4403" w:rsidRPr="008D1C96" w:rsidRDefault="00DD4403" w:rsidP="00731C15">
      <w:pPr>
        <w:spacing w:before="30"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8D1C96">
        <w:rPr>
          <w:rFonts w:ascii="Arial" w:hAnsi="Arial" w:cs="Arial"/>
          <w:i/>
          <w:sz w:val="20"/>
          <w:szCs w:val="20"/>
        </w:rPr>
        <w:t xml:space="preserve">Source : </w:t>
      </w:r>
      <w:r w:rsidR="00A82D2E">
        <w:rPr>
          <w:rFonts w:ascii="Arial" w:hAnsi="Arial" w:cs="Arial"/>
          <w:i/>
          <w:sz w:val="20"/>
          <w:szCs w:val="20"/>
        </w:rPr>
        <w:t>FFB/</w:t>
      </w:r>
      <w:r w:rsidR="006D53A3">
        <w:rPr>
          <w:rFonts w:ascii="Arial" w:hAnsi="Arial" w:cs="Arial"/>
          <w:i/>
          <w:sz w:val="20"/>
          <w:szCs w:val="20"/>
        </w:rPr>
        <w:t>R</w:t>
      </w:r>
      <w:r w:rsidR="00A82D2E">
        <w:rPr>
          <w:rFonts w:ascii="Arial" w:hAnsi="Arial" w:cs="Arial"/>
          <w:i/>
          <w:sz w:val="20"/>
          <w:szCs w:val="20"/>
        </w:rPr>
        <w:t>éseau des CERC</w:t>
      </w:r>
    </w:p>
    <w:p w14:paraId="6DF3725F" w14:textId="77777777" w:rsidR="00081454" w:rsidRPr="00081454" w:rsidRDefault="00081454" w:rsidP="00081454">
      <w:pPr>
        <w:spacing w:after="0" w:line="360" w:lineRule="auto"/>
        <w:rPr>
          <w:rFonts w:ascii="Arial" w:hAnsi="Arial" w:cs="Arial"/>
        </w:rPr>
      </w:pPr>
    </w:p>
    <w:p w14:paraId="66E371E8" w14:textId="4BD2B841" w:rsidR="00EF2D2E" w:rsidRPr="005D413A" w:rsidRDefault="00EF2D2E" w:rsidP="001A2F61">
      <w:pPr>
        <w:spacing w:after="0" w:line="360" w:lineRule="auto"/>
        <w:rPr>
          <w:rFonts w:ascii="Arial" w:hAnsi="Arial" w:cs="Arial"/>
          <w:u w:val="single"/>
        </w:rPr>
      </w:pPr>
      <w:r w:rsidRPr="005D413A">
        <w:rPr>
          <w:rFonts w:ascii="Arial" w:hAnsi="Arial" w:cs="Arial"/>
          <w:u w:val="single"/>
        </w:rPr>
        <w:t>2.4 Le bâtiment</w:t>
      </w:r>
    </w:p>
    <w:p w14:paraId="336FA4D3" w14:textId="3C4BC481" w:rsidR="006A53D0" w:rsidRDefault="006A53D0" w:rsidP="00150C88">
      <w:pPr>
        <w:spacing w:after="0" w:line="360" w:lineRule="auto"/>
        <w:jc w:val="both"/>
        <w:rPr>
          <w:rFonts w:ascii="Arial" w:hAnsi="Arial" w:cs="Arial"/>
        </w:rPr>
      </w:pPr>
    </w:p>
    <w:p w14:paraId="2B4B0AD3" w14:textId="37AF9F3B" w:rsidR="003223A7" w:rsidRDefault="003223A7" w:rsidP="003223A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synthèse, </w:t>
      </w:r>
      <w:r w:rsidRPr="00DA33E4">
        <w:rPr>
          <w:rFonts w:ascii="Arial" w:hAnsi="Arial" w:cs="Arial"/>
        </w:rPr>
        <w:t xml:space="preserve">la hausse des ventes dans l’individuel diffus et la stabilisation </w:t>
      </w:r>
      <w:r>
        <w:rPr>
          <w:rFonts w:ascii="Arial" w:hAnsi="Arial" w:cs="Arial"/>
        </w:rPr>
        <w:t xml:space="preserve">de celles </w:t>
      </w:r>
      <w:r w:rsidRPr="00DA33E4">
        <w:rPr>
          <w:rFonts w:ascii="Arial" w:hAnsi="Arial" w:cs="Arial"/>
        </w:rPr>
        <w:t xml:space="preserve">des promoteurs, </w:t>
      </w:r>
      <w:r>
        <w:rPr>
          <w:rFonts w:ascii="Arial" w:hAnsi="Arial" w:cs="Arial"/>
        </w:rPr>
        <w:t>le</w:t>
      </w:r>
      <w:r w:rsidRPr="00DA33E4">
        <w:rPr>
          <w:rFonts w:ascii="Arial" w:hAnsi="Arial" w:cs="Arial"/>
        </w:rPr>
        <w:t xml:space="preserve"> léger redressement des permis dans l’individuel</w:t>
      </w:r>
      <w:r>
        <w:rPr>
          <w:rFonts w:ascii="Arial" w:hAnsi="Arial" w:cs="Arial"/>
        </w:rPr>
        <w:t>, la</w:t>
      </w:r>
      <w:r w:rsidRPr="00DA33E4">
        <w:rPr>
          <w:rFonts w:ascii="Arial" w:hAnsi="Arial" w:cs="Arial"/>
        </w:rPr>
        <w:t xml:space="preserve"> forte </w:t>
      </w:r>
      <w:r>
        <w:rPr>
          <w:rFonts w:ascii="Arial" w:hAnsi="Arial" w:cs="Arial"/>
        </w:rPr>
        <w:t>progression</w:t>
      </w:r>
      <w:r w:rsidRPr="00DA33E4">
        <w:rPr>
          <w:rFonts w:ascii="Arial" w:hAnsi="Arial" w:cs="Arial"/>
        </w:rPr>
        <w:t xml:space="preserve"> des surfaces autorisées de bâtiments non résidentiels</w:t>
      </w:r>
      <w:r>
        <w:rPr>
          <w:rFonts w:ascii="Arial" w:hAnsi="Arial" w:cs="Arial"/>
        </w:rPr>
        <w:t xml:space="preserve"> et une activité plutôt mieux orientée en amélioration-entretien, tout cela dans un contexte </w:t>
      </w:r>
      <w:r w:rsidRPr="00DA33E4">
        <w:rPr>
          <w:rFonts w:ascii="Arial" w:hAnsi="Arial" w:cs="Arial"/>
        </w:rPr>
        <w:t xml:space="preserve">macro-économique et macro-financier assez </w:t>
      </w:r>
      <w:r w:rsidRPr="00CD5477">
        <w:rPr>
          <w:rFonts w:ascii="Arial" w:hAnsi="Arial" w:cs="Arial"/>
        </w:rPr>
        <w:t xml:space="preserve">porteur, </w:t>
      </w:r>
      <w:r>
        <w:rPr>
          <w:rFonts w:ascii="Arial" w:hAnsi="Arial" w:cs="Arial"/>
        </w:rPr>
        <w:t>conduisent à réviser</w:t>
      </w:r>
      <w:r w:rsidRPr="00CD5477">
        <w:rPr>
          <w:rFonts w:ascii="Arial" w:hAnsi="Arial" w:cs="Arial"/>
        </w:rPr>
        <w:t xml:space="preserve"> à la hau</w:t>
      </w:r>
      <w:r>
        <w:rPr>
          <w:rFonts w:ascii="Arial" w:hAnsi="Arial" w:cs="Arial"/>
        </w:rPr>
        <w:t xml:space="preserve">sse </w:t>
      </w:r>
      <w:r w:rsidRPr="00CD5477">
        <w:rPr>
          <w:rFonts w:ascii="Arial" w:hAnsi="Arial" w:cs="Arial"/>
        </w:rPr>
        <w:t xml:space="preserve">la prévision </w:t>
      </w:r>
      <w:r>
        <w:rPr>
          <w:rFonts w:ascii="Arial" w:hAnsi="Arial" w:cs="Arial"/>
        </w:rPr>
        <w:t xml:space="preserve">d’activité </w:t>
      </w:r>
      <w:r w:rsidRPr="00CD5477">
        <w:rPr>
          <w:rFonts w:ascii="Arial" w:hAnsi="Arial" w:cs="Arial"/>
        </w:rPr>
        <w:t>bâtiment de</w:t>
      </w:r>
      <w:r>
        <w:rPr>
          <w:rFonts w:ascii="Arial" w:hAnsi="Arial" w:cs="Arial"/>
        </w:rPr>
        <w:t xml:space="preserve"> la FFB pour</w:t>
      </w:r>
      <w:r w:rsidRPr="00CD5477">
        <w:rPr>
          <w:rFonts w:ascii="Arial" w:hAnsi="Arial" w:cs="Arial"/>
        </w:rPr>
        <w:t xml:space="preserve"> l’année 2019.</w:t>
      </w:r>
    </w:p>
    <w:p w14:paraId="532AAC29" w14:textId="11FB5DBA" w:rsidR="00CD5477" w:rsidRPr="00781472" w:rsidRDefault="00EB34EC" w:rsidP="002273E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D’ailleurs</w:t>
      </w:r>
      <w:r w:rsidR="003223A7">
        <w:rPr>
          <w:rFonts w:ascii="Arial" w:hAnsi="Arial" w:cs="Arial"/>
        </w:rPr>
        <w:t>, les</w:t>
      </w:r>
      <w:r w:rsidR="006D3A60" w:rsidRPr="006D3A60">
        <w:rPr>
          <w:rFonts w:ascii="Arial" w:hAnsi="Arial" w:cs="Arial"/>
        </w:rPr>
        <w:t xml:space="preserve"> carnets de commandes </w:t>
      </w:r>
      <w:r w:rsidR="003223A7">
        <w:rPr>
          <w:rFonts w:ascii="Arial" w:hAnsi="Arial" w:cs="Arial"/>
        </w:rPr>
        <w:t xml:space="preserve">dans le bâtiment ressortent </w:t>
      </w:r>
      <w:r w:rsidR="006D3A60" w:rsidRPr="006D3A60">
        <w:rPr>
          <w:rFonts w:ascii="Arial" w:hAnsi="Arial" w:cs="Arial"/>
        </w:rPr>
        <w:t>toujours bien garnis, particulièrement pour les</w:t>
      </w:r>
      <w:r w:rsidR="00C12431">
        <w:rPr>
          <w:rFonts w:ascii="Arial" w:hAnsi="Arial" w:cs="Arial"/>
        </w:rPr>
        <w:t xml:space="preserve"> </w:t>
      </w:r>
      <w:r w:rsidR="006D3A60" w:rsidRPr="006D3A60">
        <w:rPr>
          <w:rFonts w:ascii="Arial" w:hAnsi="Arial" w:cs="Arial"/>
        </w:rPr>
        <w:t>entreprises</w:t>
      </w:r>
      <w:r w:rsidR="002273E6">
        <w:rPr>
          <w:rFonts w:ascii="Arial" w:hAnsi="Arial" w:cs="Arial"/>
        </w:rPr>
        <w:t xml:space="preserve"> </w:t>
      </w:r>
      <w:r w:rsidR="006D3A60" w:rsidRPr="006D3A60">
        <w:rPr>
          <w:rFonts w:ascii="Arial" w:hAnsi="Arial" w:cs="Arial"/>
        </w:rPr>
        <w:t>de plus de dix salariés à 8 mois</w:t>
      </w:r>
      <w:r w:rsidR="002273E6">
        <w:rPr>
          <w:rFonts w:ascii="Arial" w:hAnsi="Arial" w:cs="Arial"/>
        </w:rPr>
        <w:t xml:space="preserve"> </w:t>
      </w:r>
      <w:r w:rsidR="00034E56">
        <w:rPr>
          <w:rFonts w:ascii="Arial" w:hAnsi="Arial" w:cs="Arial"/>
        </w:rPr>
        <w:t xml:space="preserve">à fin août 2019 et même à 9,1 mois pour le seul gros œuvre </w:t>
      </w:r>
      <w:r w:rsidR="002273E6">
        <w:rPr>
          <w:rFonts w:ascii="Arial" w:hAnsi="Arial" w:cs="Arial"/>
        </w:rPr>
        <w:t>(</w:t>
      </w:r>
      <w:r w:rsidR="002273E6" w:rsidRPr="00781472">
        <w:rPr>
          <w:rFonts w:ascii="Arial" w:hAnsi="Arial" w:cs="Arial"/>
        </w:rPr>
        <w:t xml:space="preserve">cf. graphique </w:t>
      </w:r>
      <w:r w:rsidR="00BB1021" w:rsidRPr="00781472">
        <w:rPr>
          <w:rFonts w:ascii="Arial" w:hAnsi="Arial" w:cs="Arial"/>
        </w:rPr>
        <w:t>9</w:t>
      </w:r>
      <w:r w:rsidR="002273E6" w:rsidRPr="00781472">
        <w:rPr>
          <w:rFonts w:ascii="Arial" w:hAnsi="Arial" w:cs="Arial"/>
        </w:rPr>
        <w:t>)</w:t>
      </w:r>
      <w:r w:rsidR="006D3A60" w:rsidRPr="00781472">
        <w:rPr>
          <w:rFonts w:ascii="Arial" w:hAnsi="Arial" w:cs="Arial"/>
        </w:rPr>
        <w:t>.</w:t>
      </w:r>
    </w:p>
    <w:p w14:paraId="2B223B31" w14:textId="40BC7E93" w:rsidR="00211CD4" w:rsidRDefault="0049248B" w:rsidP="0049248B">
      <w:pPr>
        <w:spacing w:after="0" w:line="360" w:lineRule="auto"/>
        <w:jc w:val="both"/>
        <w:rPr>
          <w:rFonts w:ascii="Arial" w:hAnsi="Arial" w:cs="Arial"/>
        </w:rPr>
      </w:pPr>
      <w:r w:rsidRPr="00781472">
        <w:rPr>
          <w:rFonts w:ascii="Arial" w:hAnsi="Arial" w:cs="Arial"/>
        </w:rPr>
        <w:t>Notre nouveau scénario table donc sur une poursuite de l’amélioration de</w:t>
      </w:r>
      <w:r w:rsidR="00EB34EC" w:rsidRPr="00781472">
        <w:rPr>
          <w:rFonts w:ascii="Arial" w:hAnsi="Arial" w:cs="Arial"/>
        </w:rPr>
        <w:t xml:space="preserve">s </w:t>
      </w:r>
      <w:r w:rsidRPr="00781472">
        <w:rPr>
          <w:rFonts w:ascii="Arial" w:hAnsi="Arial" w:cs="Arial"/>
        </w:rPr>
        <w:t>tendances observées au premier semestre. L’activité bâtiment s’inscrirait alors en augmentation</w:t>
      </w:r>
      <w:r w:rsidR="008A5193" w:rsidRPr="00781472">
        <w:rPr>
          <w:rFonts w:ascii="Arial" w:hAnsi="Arial" w:cs="Arial"/>
        </w:rPr>
        <w:t xml:space="preserve"> </w:t>
      </w:r>
      <w:r w:rsidR="00914556" w:rsidRPr="00781472">
        <w:rPr>
          <w:rFonts w:ascii="Arial" w:hAnsi="Arial" w:cs="Arial"/>
        </w:rPr>
        <w:t xml:space="preserve">de </w:t>
      </w:r>
      <w:r w:rsidR="008A5193" w:rsidRPr="00781472">
        <w:rPr>
          <w:rFonts w:ascii="Arial" w:hAnsi="Arial" w:cs="Arial"/>
        </w:rPr>
        <w:t>1</w:t>
      </w:r>
      <w:r w:rsidRPr="00781472">
        <w:rPr>
          <w:rFonts w:ascii="Arial" w:hAnsi="Arial" w:cs="Arial"/>
        </w:rPr>
        <w:t>,</w:t>
      </w:r>
      <w:r w:rsidR="008A5193" w:rsidRPr="00781472">
        <w:rPr>
          <w:rFonts w:ascii="Arial" w:hAnsi="Arial" w:cs="Arial"/>
        </w:rPr>
        <w:t>3</w:t>
      </w:r>
      <w:r w:rsidRPr="00781472">
        <w:rPr>
          <w:rFonts w:ascii="Arial" w:hAnsi="Arial" w:cs="Arial"/>
        </w:rPr>
        <w:t> % en volume en 2019</w:t>
      </w:r>
      <w:r w:rsidR="00781472" w:rsidRPr="00781472">
        <w:rPr>
          <w:rFonts w:ascii="Arial" w:hAnsi="Arial" w:cs="Arial"/>
        </w:rPr>
        <w:t>, a minima</w:t>
      </w:r>
      <w:r w:rsidRPr="00781472">
        <w:rPr>
          <w:rFonts w:ascii="Arial" w:hAnsi="Arial" w:cs="Arial"/>
        </w:rPr>
        <w:t xml:space="preserve">. </w:t>
      </w:r>
      <w:r w:rsidR="00781472" w:rsidRPr="00781472">
        <w:rPr>
          <w:rFonts w:ascii="Arial" w:hAnsi="Arial" w:cs="Arial"/>
        </w:rPr>
        <w:t xml:space="preserve">Elle </w:t>
      </w:r>
      <w:r w:rsidRPr="00781472">
        <w:rPr>
          <w:rFonts w:ascii="Arial" w:hAnsi="Arial" w:cs="Arial"/>
        </w:rPr>
        <w:t xml:space="preserve">pourrait </w:t>
      </w:r>
      <w:r w:rsidR="00781472" w:rsidRPr="00781472">
        <w:rPr>
          <w:rFonts w:ascii="Arial" w:hAnsi="Arial" w:cs="Arial"/>
        </w:rPr>
        <w:t xml:space="preserve">même </w:t>
      </w:r>
      <w:r w:rsidRPr="00781472">
        <w:rPr>
          <w:rFonts w:ascii="Arial" w:hAnsi="Arial" w:cs="Arial"/>
        </w:rPr>
        <w:t xml:space="preserve">progresser un peu plus fortement sous l’effet d’anticipations </w:t>
      </w:r>
      <w:r w:rsidR="00EB34EC" w:rsidRPr="00781472">
        <w:rPr>
          <w:rFonts w:ascii="Arial" w:hAnsi="Arial" w:cs="Arial"/>
        </w:rPr>
        <w:t xml:space="preserve">des ménages </w:t>
      </w:r>
      <w:r w:rsidRPr="00781472">
        <w:rPr>
          <w:rFonts w:ascii="Arial" w:hAnsi="Arial" w:cs="Arial"/>
        </w:rPr>
        <w:lastRenderedPageBreak/>
        <w:t>avant dégradation de l’environnement institutionnel au 1</w:t>
      </w:r>
      <w:r w:rsidRPr="00781472">
        <w:rPr>
          <w:rFonts w:ascii="Arial" w:hAnsi="Arial" w:cs="Arial"/>
          <w:vertAlign w:val="superscript"/>
        </w:rPr>
        <w:t>er</w:t>
      </w:r>
      <w:r w:rsidR="00EB34EC" w:rsidRPr="00781472">
        <w:rPr>
          <w:rFonts w:ascii="Arial" w:hAnsi="Arial" w:cs="Arial"/>
        </w:rPr>
        <w:t xml:space="preserve"> </w:t>
      </w:r>
      <w:r w:rsidRPr="00781472">
        <w:rPr>
          <w:rFonts w:ascii="Arial" w:hAnsi="Arial" w:cs="Arial"/>
        </w:rPr>
        <w:t xml:space="preserve">janvier 2020 (suppression du PTZ neuf en zones B2 et C, net élagage du CITE lors de sa transformation en prime). </w:t>
      </w:r>
    </w:p>
    <w:p w14:paraId="7436B1A4" w14:textId="21122C9D" w:rsidR="0049248B" w:rsidRDefault="00211CD4" w:rsidP="0049248B">
      <w:pPr>
        <w:spacing w:after="0" w:line="360" w:lineRule="auto"/>
        <w:jc w:val="both"/>
        <w:rPr>
          <w:rFonts w:ascii="Arial" w:hAnsi="Arial" w:cs="Arial"/>
        </w:rPr>
      </w:pPr>
      <w:r w:rsidRPr="00781472">
        <w:rPr>
          <w:rFonts w:ascii="Arial" w:hAnsi="Arial" w:cs="Arial"/>
        </w:rPr>
        <w:t>En détail, le logement neuf (+0,2 %) et l’amélioration-entretien (+0,3%) se maintiendraient globalement</w:t>
      </w:r>
      <w:r w:rsidR="00216CFD">
        <w:rPr>
          <w:rFonts w:ascii="Arial" w:hAnsi="Arial" w:cs="Arial"/>
        </w:rPr>
        <w:t>,</w:t>
      </w:r>
      <w:r w:rsidRPr="00781472">
        <w:rPr>
          <w:rFonts w:ascii="Arial" w:hAnsi="Arial" w:cs="Arial"/>
        </w:rPr>
        <w:t xml:space="preserve"> alors que le non résidentiel neuf (+6,4 %) </w:t>
      </w:r>
      <w:r w:rsidR="00B461B6" w:rsidRPr="00781472">
        <w:rPr>
          <w:rFonts w:ascii="Arial" w:hAnsi="Arial" w:cs="Arial"/>
        </w:rPr>
        <w:t xml:space="preserve">progresserait </w:t>
      </w:r>
      <w:r w:rsidRPr="00781472">
        <w:rPr>
          <w:rFonts w:ascii="Arial" w:hAnsi="Arial" w:cs="Arial"/>
        </w:rPr>
        <w:t>quasiment au même rythme qu’en 2018.</w:t>
      </w:r>
      <w:r w:rsidR="0049248B" w:rsidRPr="00781472">
        <w:rPr>
          <w:rFonts w:ascii="Arial" w:hAnsi="Arial" w:cs="Arial"/>
        </w:rPr>
        <w:t xml:space="preserve"> </w:t>
      </w:r>
    </w:p>
    <w:p w14:paraId="63A2D1CF" w14:textId="77777777" w:rsidR="0049248B" w:rsidRPr="00DA33E4" w:rsidRDefault="0049248B" w:rsidP="0049248B">
      <w:pPr>
        <w:spacing w:after="0" w:line="360" w:lineRule="auto"/>
        <w:jc w:val="both"/>
        <w:rPr>
          <w:rFonts w:ascii="Arial" w:hAnsi="Arial" w:cs="Arial"/>
        </w:rPr>
      </w:pPr>
    </w:p>
    <w:p w14:paraId="3D027E08" w14:textId="0DE8792D" w:rsidR="00CD5477" w:rsidRDefault="00CD5477" w:rsidP="00CD5477">
      <w:pPr>
        <w:spacing w:after="0" w:line="360" w:lineRule="auto"/>
        <w:jc w:val="center"/>
        <w:rPr>
          <w:rFonts w:ascii="Arial" w:hAnsi="Arial" w:cs="Arial"/>
        </w:rPr>
      </w:pPr>
      <w:r w:rsidRPr="009E2004">
        <w:rPr>
          <w:rFonts w:ascii="Arial" w:hAnsi="Arial" w:cs="Arial"/>
        </w:rPr>
        <w:t xml:space="preserve">Graphique </w:t>
      </w:r>
      <w:r w:rsidR="00BB1021">
        <w:rPr>
          <w:rFonts w:ascii="Arial" w:hAnsi="Arial" w:cs="Arial"/>
        </w:rPr>
        <w:t>9</w:t>
      </w:r>
      <w:r w:rsidRPr="009E2004">
        <w:rPr>
          <w:rFonts w:ascii="Arial" w:hAnsi="Arial" w:cs="Arial"/>
        </w:rPr>
        <w:t xml:space="preserve"> – </w:t>
      </w:r>
      <w:r w:rsidRPr="009E2004">
        <w:rPr>
          <w:rFonts w:ascii="Arial" w:hAnsi="Arial" w:cs="Arial"/>
          <w:b/>
        </w:rPr>
        <w:t>Carnets de commandes des entreprises de bâtiment</w:t>
      </w:r>
    </w:p>
    <w:p w14:paraId="23A9DC0A" w14:textId="2A0EB3FA" w:rsidR="00CD5477" w:rsidRDefault="006F3201" w:rsidP="00CD5477">
      <w:pPr>
        <w:spacing w:after="0" w:line="360" w:lineRule="auto"/>
        <w:jc w:val="center"/>
        <w:rPr>
          <w:rFonts w:ascii="Arial" w:hAnsi="Arial" w:cs="Arial"/>
        </w:rPr>
      </w:pPr>
      <w:r w:rsidRPr="006F3201">
        <w:rPr>
          <w:rFonts w:ascii="Arial" w:hAnsi="Arial" w:cs="Arial"/>
          <w:noProof/>
          <w:lang w:eastAsia="fr-FR"/>
        </w:rPr>
        <w:drawing>
          <wp:inline distT="0" distB="0" distL="0" distR="0" wp14:anchorId="2C02A602" wp14:editId="2155C2B0">
            <wp:extent cx="5187600" cy="3168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2B06" w14:textId="77777777" w:rsidR="00CD5477" w:rsidRDefault="00CD5477" w:rsidP="00CD547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965EA">
        <w:rPr>
          <w:rFonts w:ascii="Arial" w:hAnsi="Arial" w:cs="Arial"/>
          <w:i/>
          <w:sz w:val="20"/>
          <w:szCs w:val="20"/>
        </w:rPr>
        <w:t>Source : Insee, enquête mensuelle de conjoncture dans le b</w:t>
      </w:r>
      <w:r>
        <w:rPr>
          <w:rFonts w:ascii="Arial" w:hAnsi="Arial" w:cs="Arial"/>
          <w:i/>
          <w:sz w:val="20"/>
          <w:szCs w:val="20"/>
        </w:rPr>
        <w:t>âtiment ; FFB</w:t>
      </w:r>
    </w:p>
    <w:p w14:paraId="184A6249" w14:textId="77777777" w:rsidR="00CD5477" w:rsidRDefault="00CD5477" w:rsidP="00150C88">
      <w:pPr>
        <w:spacing w:after="0" w:line="360" w:lineRule="auto"/>
        <w:jc w:val="both"/>
        <w:rPr>
          <w:rFonts w:ascii="Arial" w:hAnsi="Arial" w:cs="Arial"/>
        </w:rPr>
      </w:pPr>
    </w:p>
    <w:p w14:paraId="6CDA2887" w14:textId="27EDF6A4" w:rsidR="008F2BF9" w:rsidRDefault="008F2BF9">
      <w:pPr>
        <w:rPr>
          <w:rFonts w:ascii="Arial" w:hAnsi="Arial" w:cs="Arial"/>
        </w:rPr>
      </w:pPr>
    </w:p>
    <w:p w14:paraId="678D6CB7" w14:textId="0A02A14E" w:rsidR="00A834A2" w:rsidRPr="00AE6454" w:rsidRDefault="00A834A2" w:rsidP="00C94007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AE6454">
        <w:rPr>
          <w:rFonts w:ascii="Arial" w:hAnsi="Arial" w:cs="Arial"/>
          <w:b/>
          <w:sz w:val="28"/>
          <w:szCs w:val="28"/>
          <w:u w:val="single"/>
        </w:rPr>
        <w:t xml:space="preserve">. </w:t>
      </w:r>
      <w:r>
        <w:rPr>
          <w:rFonts w:ascii="Arial" w:hAnsi="Arial" w:cs="Arial"/>
          <w:b/>
          <w:sz w:val="28"/>
          <w:szCs w:val="28"/>
          <w:u w:val="single"/>
        </w:rPr>
        <w:t>L’appareil de production</w:t>
      </w:r>
    </w:p>
    <w:p w14:paraId="37909CD8" w14:textId="77777777" w:rsidR="00A834A2" w:rsidRPr="00305324" w:rsidRDefault="00A834A2" w:rsidP="00305324">
      <w:pPr>
        <w:spacing w:after="0" w:line="360" w:lineRule="auto"/>
        <w:jc w:val="both"/>
        <w:rPr>
          <w:rFonts w:ascii="Arial" w:hAnsi="Arial" w:cs="Arial"/>
        </w:rPr>
      </w:pPr>
    </w:p>
    <w:p w14:paraId="41DDE7AE" w14:textId="77777777" w:rsidR="00A834A2" w:rsidRPr="00305324" w:rsidRDefault="00A834A2" w:rsidP="00305324">
      <w:pPr>
        <w:spacing w:after="0" w:line="360" w:lineRule="auto"/>
        <w:jc w:val="both"/>
        <w:rPr>
          <w:rFonts w:ascii="Arial" w:hAnsi="Arial" w:cs="Arial"/>
          <w:u w:val="single"/>
        </w:rPr>
      </w:pPr>
      <w:r w:rsidRPr="00305324">
        <w:rPr>
          <w:rFonts w:ascii="Arial" w:hAnsi="Arial" w:cs="Arial"/>
          <w:u w:val="single"/>
        </w:rPr>
        <w:t>3.1 L’emploi</w:t>
      </w:r>
    </w:p>
    <w:p w14:paraId="790DD68C" w14:textId="77777777" w:rsidR="00A834A2" w:rsidRPr="00305324" w:rsidRDefault="00A834A2" w:rsidP="00305324">
      <w:pPr>
        <w:pStyle w:val="Sansinterligne"/>
        <w:spacing w:line="360" w:lineRule="auto"/>
        <w:jc w:val="both"/>
        <w:rPr>
          <w:rFonts w:ascii="Arial" w:hAnsi="Arial" w:cs="Arial"/>
        </w:rPr>
      </w:pPr>
    </w:p>
    <w:p w14:paraId="38E693E5" w14:textId="551281C8" w:rsidR="00AB6C87" w:rsidRDefault="00D4241D" w:rsidP="00305324">
      <w:pPr>
        <w:pStyle w:val="Sansinterligne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Environ 3</w:t>
      </w:r>
      <w:r w:rsidR="00B90EF4">
        <w:rPr>
          <w:rFonts w:ascii="Arial" w:hAnsi="Arial" w:cs="Arial"/>
        </w:rPr>
        <w:t>3</w:t>
      </w:r>
      <w:r>
        <w:rPr>
          <w:rFonts w:ascii="Arial" w:hAnsi="Arial" w:cs="Arial"/>
        </w:rPr>
        <w:t> </w:t>
      </w:r>
      <w:r w:rsidR="00DA33E4" w:rsidRPr="00DA33E4">
        <w:rPr>
          <w:rFonts w:ascii="Arial" w:hAnsi="Arial" w:cs="Arial"/>
        </w:rPr>
        <w:t xml:space="preserve">000 postes, dont </w:t>
      </w:r>
      <w:r>
        <w:rPr>
          <w:rFonts w:ascii="Arial" w:hAnsi="Arial" w:cs="Arial"/>
        </w:rPr>
        <w:t>28 </w:t>
      </w:r>
      <w:r w:rsidR="00DA33E4" w:rsidRPr="00DA33E4">
        <w:rPr>
          <w:rFonts w:ascii="Arial" w:hAnsi="Arial" w:cs="Arial"/>
        </w:rPr>
        <w:t>000 salariés</w:t>
      </w:r>
      <w:r w:rsidR="00DC0917">
        <w:rPr>
          <w:rFonts w:ascii="Arial" w:hAnsi="Arial" w:cs="Arial"/>
        </w:rPr>
        <w:t>,</w:t>
      </w:r>
      <w:r w:rsidR="00DA33E4" w:rsidRPr="00DA33E4">
        <w:rPr>
          <w:rFonts w:ascii="Arial" w:hAnsi="Arial" w:cs="Arial"/>
        </w:rPr>
        <w:t xml:space="preserve"> auraient été créés dans le bâtiment sur les six premiers mois de 2019 par rapport à la même période un an auparavant, soit une hausse de </w:t>
      </w:r>
      <w:r w:rsidR="00B90EF4">
        <w:rPr>
          <w:rFonts w:ascii="Arial" w:hAnsi="Arial" w:cs="Arial"/>
        </w:rPr>
        <w:t>2</w:t>
      </w:r>
      <w:r w:rsidR="00DA33E4" w:rsidRPr="00DA33E4">
        <w:rPr>
          <w:rFonts w:ascii="Arial" w:hAnsi="Arial" w:cs="Arial"/>
        </w:rPr>
        <w:t>,</w:t>
      </w:r>
      <w:r w:rsidR="00B90EF4">
        <w:rPr>
          <w:rFonts w:ascii="Arial" w:hAnsi="Arial" w:cs="Arial"/>
        </w:rPr>
        <w:t>7</w:t>
      </w:r>
      <w:r w:rsidR="00EB34EC">
        <w:rPr>
          <w:rFonts w:ascii="Arial" w:hAnsi="Arial" w:cs="Arial"/>
        </w:rPr>
        <w:t> %</w:t>
      </w:r>
      <w:r w:rsidR="00DA33E4" w:rsidRPr="00DA33E4">
        <w:rPr>
          <w:rFonts w:ascii="Arial" w:hAnsi="Arial" w:cs="Arial"/>
        </w:rPr>
        <w:t>.</w:t>
      </w:r>
      <w:r w:rsidR="006F3201">
        <w:rPr>
          <w:rFonts w:ascii="Arial" w:hAnsi="Arial" w:cs="Arial"/>
        </w:rPr>
        <w:t xml:space="preserve"> </w:t>
      </w:r>
      <w:r w:rsidR="00B90EF4">
        <w:rPr>
          <w:rFonts w:ascii="Arial" w:hAnsi="Arial" w:cs="Arial"/>
        </w:rPr>
        <w:t xml:space="preserve">Le rythme de hausse semble s’être stabilisé </w:t>
      </w:r>
      <w:r w:rsidR="0028078B">
        <w:rPr>
          <w:rFonts w:ascii="Arial" w:hAnsi="Arial" w:cs="Arial"/>
        </w:rPr>
        <w:t xml:space="preserve">en glissement annuel </w:t>
      </w:r>
      <w:r w:rsidR="00B90EF4">
        <w:rPr>
          <w:rFonts w:ascii="Arial" w:hAnsi="Arial" w:cs="Arial"/>
        </w:rPr>
        <w:t>au deuxième trimestre, soit +2,7 % également (cf. graphique 10).</w:t>
      </w:r>
    </w:p>
    <w:p w14:paraId="6D306DC9" w14:textId="77777777" w:rsidR="00305324" w:rsidRDefault="00305324" w:rsidP="00305324">
      <w:pPr>
        <w:pStyle w:val="Sansinterligne"/>
        <w:spacing w:line="360" w:lineRule="auto"/>
        <w:jc w:val="both"/>
        <w:rPr>
          <w:rFonts w:ascii="Arial" w:hAnsi="Arial" w:cs="Arial"/>
        </w:rPr>
      </w:pPr>
    </w:p>
    <w:p w14:paraId="7A4C197F" w14:textId="77777777" w:rsidR="005F1300" w:rsidRDefault="005F130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B9CF946" w14:textId="196D6FE6" w:rsidR="00081454" w:rsidRDefault="00081454" w:rsidP="00081454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Graphique </w:t>
      </w:r>
      <w:r w:rsidR="00BC4D22">
        <w:rPr>
          <w:rFonts w:ascii="Arial" w:hAnsi="Arial" w:cs="Arial"/>
        </w:rPr>
        <w:t>1</w:t>
      </w:r>
      <w:r w:rsidR="00CE3F49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</w:t>
      </w:r>
      <w:r w:rsidRPr="009B1AD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234B32">
        <w:rPr>
          <w:rFonts w:ascii="Arial" w:hAnsi="Arial" w:cs="Arial"/>
          <w:b/>
        </w:rPr>
        <w:t>Niveaux d’emploi salarié et intérimaire dans le bâtiment</w:t>
      </w:r>
    </w:p>
    <w:p w14:paraId="2013B172" w14:textId="01AAF43D" w:rsidR="00081454" w:rsidRDefault="00B90EF4" w:rsidP="00081454">
      <w:pPr>
        <w:spacing w:after="0" w:line="360" w:lineRule="auto"/>
        <w:jc w:val="center"/>
        <w:rPr>
          <w:rFonts w:ascii="Arial" w:hAnsi="Arial" w:cs="Arial"/>
        </w:rPr>
      </w:pPr>
      <w:r w:rsidRPr="00B90EF4">
        <w:rPr>
          <w:rFonts w:ascii="Arial" w:hAnsi="Arial" w:cs="Arial"/>
          <w:noProof/>
          <w:lang w:eastAsia="fr-FR"/>
        </w:rPr>
        <w:drawing>
          <wp:inline distT="0" distB="0" distL="0" distR="0" wp14:anchorId="75D95BA2" wp14:editId="1CE7687E">
            <wp:extent cx="5184000" cy="3150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330A" w14:textId="77777777" w:rsidR="00081454" w:rsidRPr="00197C43" w:rsidRDefault="00081454" w:rsidP="00081454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Source : FFB d’après Ministère du t</w:t>
      </w:r>
      <w:r w:rsidRPr="00197C43">
        <w:rPr>
          <w:rFonts w:ascii="Arial" w:hAnsi="Arial" w:cs="Arial"/>
          <w:i/>
          <w:sz w:val="20"/>
          <w:szCs w:val="20"/>
        </w:rPr>
        <w:t>ravail, DARES</w:t>
      </w:r>
    </w:p>
    <w:p w14:paraId="2D194238" w14:textId="4AFDB138" w:rsidR="00434D7C" w:rsidRDefault="00434D7C" w:rsidP="00434D7C">
      <w:pPr>
        <w:spacing w:after="0" w:line="360" w:lineRule="auto"/>
        <w:rPr>
          <w:rFonts w:ascii="Arial" w:hAnsi="Arial" w:cs="Arial"/>
        </w:rPr>
      </w:pPr>
    </w:p>
    <w:p w14:paraId="7E5E5389" w14:textId="0F309AAC" w:rsidR="00971127" w:rsidRDefault="00971127" w:rsidP="00CE3F49">
      <w:pPr>
        <w:pStyle w:val="Sansinterligne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Quant aux </w:t>
      </w:r>
      <w:r w:rsidR="00054983">
        <w:rPr>
          <w:rFonts w:ascii="Arial" w:hAnsi="Arial" w:cs="Arial"/>
        </w:rPr>
        <w:t xml:space="preserve">perspectives </w:t>
      </w:r>
      <w:r w:rsidR="00EB34EC">
        <w:rPr>
          <w:rFonts w:ascii="Arial" w:hAnsi="Arial" w:cs="Arial"/>
        </w:rPr>
        <w:t xml:space="preserve">d’emploi </w:t>
      </w:r>
      <w:r w:rsidR="006577BD">
        <w:rPr>
          <w:rFonts w:ascii="Arial" w:hAnsi="Arial" w:cs="Arial"/>
        </w:rPr>
        <w:t>déclarées par les chefs d’entreprise</w:t>
      </w:r>
      <w:r>
        <w:rPr>
          <w:rFonts w:ascii="Arial" w:hAnsi="Arial" w:cs="Arial"/>
        </w:rPr>
        <w:t>, elles</w:t>
      </w:r>
      <w:r w:rsidR="006577BD">
        <w:rPr>
          <w:rFonts w:ascii="Arial" w:hAnsi="Arial" w:cs="Arial"/>
        </w:rPr>
        <w:t xml:space="preserve"> </w:t>
      </w:r>
      <w:r w:rsidR="00054983">
        <w:rPr>
          <w:rFonts w:ascii="Arial" w:hAnsi="Arial" w:cs="Arial"/>
        </w:rPr>
        <w:t xml:space="preserve">s’améliorent chez les artisans et restent orientées positivement pour les </w:t>
      </w:r>
      <w:r w:rsidR="006577BD">
        <w:rPr>
          <w:rFonts w:ascii="Arial" w:hAnsi="Arial" w:cs="Arial"/>
        </w:rPr>
        <w:t xml:space="preserve">plus </w:t>
      </w:r>
      <w:r w:rsidR="00054983">
        <w:rPr>
          <w:rFonts w:ascii="Arial" w:hAnsi="Arial" w:cs="Arial"/>
        </w:rPr>
        <w:t>d</w:t>
      </w:r>
      <w:r w:rsidR="00CE3F49">
        <w:rPr>
          <w:rFonts w:ascii="Arial" w:hAnsi="Arial" w:cs="Arial"/>
        </w:rPr>
        <w:t>e dix salariés (cf. graphique 11</w:t>
      </w:r>
      <w:r w:rsidR="00054983">
        <w:rPr>
          <w:rFonts w:ascii="Arial" w:hAnsi="Arial" w:cs="Arial"/>
        </w:rPr>
        <w:t xml:space="preserve">), malgré des difficultés de recrutement </w:t>
      </w:r>
      <w:r w:rsidR="00EB34EC">
        <w:rPr>
          <w:rFonts w:ascii="Arial" w:hAnsi="Arial" w:cs="Arial"/>
        </w:rPr>
        <w:t>qui perdurent</w:t>
      </w:r>
      <w:r w:rsidR="00054983">
        <w:rPr>
          <w:rFonts w:ascii="Arial" w:hAnsi="Arial" w:cs="Arial"/>
        </w:rPr>
        <w:t xml:space="preserve"> (cf. graphique 1</w:t>
      </w:r>
      <w:r w:rsidR="00CE3F49">
        <w:rPr>
          <w:rFonts w:ascii="Arial" w:hAnsi="Arial" w:cs="Arial"/>
        </w:rPr>
        <w:t>2</w:t>
      </w:r>
      <w:r w:rsidR="00054983">
        <w:rPr>
          <w:rFonts w:ascii="Arial" w:hAnsi="Arial" w:cs="Arial"/>
        </w:rPr>
        <w:t>).</w:t>
      </w:r>
      <w:r w:rsidR="006A3D10">
        <w:rPr>
          <w:rFonts w:ascii="Arial" w:hAnsi="Arial" w:cs="Arial"/>
        </w:rPr>
        <w:t xml:space="preserve"> </w:t>
      </w:r>
    </w:p>
    <w:p w14:paraId="20A6932D" w14:textId="7BCB0197" w:rsidR="005129B6" w:rsidRDefault="005129B6" w:rsidP="00CE3F49">
      <w:pPr>
        <w:pStyle w:val="Sansinterligne"/>
        <w:spacing w:line="360" w:lineRule="auto"/>
        <w:jc w:val="both"/>
        <w:rPr>
          <w:rFonts w:ascii="Arial" w:hAnsi="Arial" w:cs="Arial"/>
        </w:rPr>
      </w:pPr>
    </w:p>
    <w:p w14:paraId="551C6069" w14:textId="37658BC1" w:rsidR="00054983" w:rsidRDefault="00054983" w:rsidP="00054983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Graphique 1</w:t>
      </w:r>
      <w:r w:rsidR="00C74261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 w:rsidRPr="009B1AD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92307">
        <w:rPr>
          <w:rFonts w:ascii="Arial" w:hAnsi="Arial" w:cs="Arial"/>
          <w:b/>
        </w:rPr>
        <w:t xml:space="preserve">Opinions des </w:t>
      </w:r>
      <w:r>
        <w:rPr>
          <w:rFonts w:ascii="Arial" w:hAnsi="Arial" w:cs="Arial"/>
          <w:b/>
        </w:rPr>
        <w:t xml:space="preserve">chefs d’entreprise </w:t>
      </w:r>
      <w:r w:rsidRPr="00C92307">
        <w:rPr>
          <w:rFonts w:ascii="Arial" w:hAnsi="Arial" w:cs="Arial"/>
          <w:b/>
        </w:rPr>
        <w:t xml:space="preserve">sur </w:t>
      </w:r>
      <w:r>
        <w:rPr>
          <w:rFonts w:ascii="Arial" w:hAnsi="Arial" w:cs="Arial"/>
          <w:b/>
        </w:rPr>
        <w:t xml:space="preserve">les perspectives d’emploi </w:t>
      </w:r>
      <w:r>
        <w:rPr>
          <w:rFonts w:ascii="Arial" w:hAnsi="Arial" w:cs="Arial"/>
          <w:b/>
        </w:rPr>
        <w:br/>
        <w:t>dans le bâtiment</w:t>
      </w:r>
    </w:p>
    <w:p w14:paraId="3725B3B8" w14:textId="2B59325C" w:rsidR="00054983" w:rsidRDefault="00DA33E4" w:rsidP="00DA33E4">
      <w:pPr>
        <w:spacing w:after="0" w:line="360" w:lineRule="auto"/>
        <w:jc w:val="center"/>
        <w:rPr>
          <w:rFonts w:ascii="Arial" w:hAnsi="Arial" w:cs="Arial"/>
        </w:rPr>
      </w:pPr>
      <w:r w:rsidRPr="00DA33E4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0B8C3151" wp14:editId="6CF265F7">
            <wp:extent cx="5187600" cy="3168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4E78D" w14:textId="77777777" w:rsidR="00305324" w:rsidRPr="000965EA" w:rsidRDefault="00305324" w:rsidP="00305324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0965EA">
        <w:rPr>
          <w:rFonts w:ascii="Arial" w:hAnsi="Arial" w:cs="Arial"/>
          <w:i/>
          <w:sz w:val="20"/>
          <w:szCs w:val="20"/>
        </w:rPr>
        <w:t>Source : Insee, enquête mensuelle de conjoncture dans le bâtiment et enquête trimestrielle de conjoncture dans l’artisanat du bâtiment</w:t>
      </w:r>
    </w:p>
    <w:p w14:paraId="72D345EB" w14:textId="2D8CA283" w:rsidR="00054983" w:rsidRDefault="00054983" w:rsidP="00054983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Graphique 1</w:t>
      </w:r>
      <w:r w:rsidR="00C74261">
        <w:rPr>
          <w:rFonts w:ascii="Arial" w:hAnsi="Arial" w:cs="Arial"/>
        </w:rPr>
        <w:t>2</w:t>
      </w:r>
      <w:r w:rsidRPr="00165A21">
        <w:rPr>
          <w:rFonts w:ascii="Arial" w:hAnsi="Arial" w:cs="Arial"/>
          <w:b/>
        </w:rPr>
        <w:t xml:space="preserve"> </w:t>
      </w:r>
      <w:r w:rsidRPr="009B1AD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8A5C17">
        <w:rPr>
          <w:rFonts w:ascii="Arial" w:hAnsi="Arial" w:cs="Arial"/>
          <w:b/>
        </w:rPr>
        <w:t>Part des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entreprises déclarant des difficultés de recrutement </w:t>
      </w:r>
      <w:r>
        <w:rPr>
          <w:rFonts w:ascii="Arial" w:hAnsi="Arial" w:cs="Arial"/>
          <w:b/>
        </w:rPr>
        <w:br/>
        <w:t>dans le bâtiment</w:t>
      </w:r>
    </w:p>
    <w:p w14:paraId="2E2E4461" w14:textId="76629101" w:rsidR="00054983" w:rsidRDefault="00DA33E4" w:rsidP="00054983">
      <w:pPr>
        <w:spacing w:after="0" w:line="360" w:lineRule="auto"/>
        <w:jc w:val="center"/>
        <w:rPr>
          <w:rFonts w:ascii="Arial" w:hAnsi="Arial" w:cs="Arial"/>
        </w:rPr>
      </w:pPr>
      <w:r w:rsidRPr="00DA33E4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720593D2" wp14:editId="42311DEE">
            <wp:extent cx="5187600" cy="3168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20864" w14:textId="77777777" w:rsidR="00054983" w:rsidRPr="000965EA" w:rsidRDefault="00054983" w:rsidP="00054983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0965EA">
        <w:rPr>
          <w:rFonts w:ascii="Arial" w:hAnsi="Arial" w:cs="Arial"/>
          <w:i/>
          <w:sz w:val="20"/>
          <w:szCs w:val="20"/>
        </w:rPr>
        <w:t>Source : Insee, enquête mensuelle de conjoncture dans le bâtiment et enquête trimestrielle de conjoncture dans l’artisanat du bâtiment</w:t>
      </w:r>
    </w:p>
    <w:p w14:paraId="4E11DEE5" w14:textId="0AB75F67" w:rsidR="00054983" w:rsidRDefault="00054983" w:rsidP="00EB34EC">
      <w:pPr>
        <w:pStyle w:val="Sansinterligne"/>
      </w:pPr>
    </w:p>
    <w:p w14:paraId="0FCB50DC" w14:textId="3DFDD40F" w:rsidR="00EB34EC" w:rsidRDefault="00EB34EC" w:rsidP="002B4937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En conséquence, de l’ordre de</w:t>
      </w:r>
      <w:r w:rsidRPr="006577BD">
        <w:rPr>
          <w:rFonts w:ascii="Arial" w:hAnsi="Arial" w:cs="Arial"/>
        </w:rPr>
        <w:t xml:space="preserve"> </w:t>
      </w:r>
      <w:r w:rsidR="00F03C28">
        <w:rPr>
          <w:rFonts w:ascii="Arial" w:hAnsi="Arial" w:cs="Arial"/>
        </w:rPr>
        <w:t>25 </w:t>
      </w:r>
      <w:r w:rsidRPr="006577BD">
        <w:rPr>
          <w:rFonts w:ascii="Arial" w:hAnsi="Arial" w:cs="Arial"/>
        </w:rPr>
        <w:t xml:space="preserve">000 postes devraient voir le jour </w:t>
      </w:r>
      <w:r>
        <w:rPr>
          <w:rFonts w:ascii="Arial" w:hAnsi="Arial" w:cs="Arial"/>
        </w:rPr>
        <w:t xml:space="preserve">dans le bâtiment </w:t>
      </w:r>
      <w:r w:rsidRPr="006577BD">
        <w:rPr>
          <w:rFonts w:ascii="Arial" w:hAnsi="Arial" w:cs="Arial"/>
        </w:rPr>
        <w:t>en 2019 en moyenne annuelle</w:t>
      </w:r>
      <w:r>
        <w:rPr>
          <w:rFonts w:ascii="Arial" w:hAnsi="Arial" w:cs="Arial"/>
        </w:rPr>
        <w:t>, correspondant à une hausse de 2,</w:t>
      </w:r>
      <w:r w:rsidR="00162F82">
        <w:rPr>
          <w:rFonts w:ascii="Arial" w:hAnsi="Arial" w:cs="Arial"/>
        </w:rPr>
        <w:t>1</w:t>
      </w:r>
      <w:r>
        <w:rPr>
          <w:rFonts w:ascii="Arial" w:hAnsi="Arial" w:cs="Arial"/>
        </w:rPr>
        <w:t> %.</w:t>
      </w:r>
    </w:p>
    <w:p w14:paraId="53730BF7" w14:textId="74E0918A" w:rsidR="0020124C" w:rsidRDefault="0020124C">
      <w:pPr>
        <w:rPr>
          <w:rFonts w:ascii="Arial" w:hAnsi="Arial" w:cs="Arial"/>
          <w:u w:val="single"/>
        </w:rPr>
      </w:pPr>
    </w:p>
    <w:p w14:paraId="4D2CF4D3" w14:textId="0516B6E4" w:rsidR="00A834A2" w:rsidRPr="00AC597D" w:rsidRDefault="00A834A2" w:rsidP="00AC597D">
      <w:pPr>
        <w:spacing w:after="0" w:line="360" w:lineRule="auto"/>
        <w:jc w:val="both"/>
        <w:rPr>
          <w:rFonts w:ascii="Arial" w:hAnsi="Arial" w:cs="Arial"/>
          <w:u w:val="single"/>
        </w:rPr>
      </w:pPr>
      <w:r w:rsidRPr="00AC597D">
        <w:rPr>
          <w:rFonts w:ascii="Arial" w:hAnsi="Arial" w:cs="Arial"/>
          <w:u w:val="single"/>
        </w:rPr>
        <w:t>3.2 La démographie des entreprises</w:t>
      </w:r>
    </w:p>
    <w:p w14:paraId="6EC5EEA4" w14:textId="0FC8671D" w:rsidR="00C26FE7" w:rsidRPr="00AC597D" w:rsidRDefault="00C26FE7" w:rsidP="00AC597D">
      <w:pPr>
        <w:pStyle w:val="Sansinterligne"/>
        <w:spacing w:line="360" w:lineRule="auto"/>
        <w:jc w:val="both"/>
        <w:rPr>
          <w:rFonts w:ascii="Arial" w:hAnsi="Arial" w:cs="Arial"/>
        </w:rPr>
      </w:pPr>
    </w:p>
    <w:p w14:paraId="2B6331F5" w14:textId="22DEBF06" w:rsidR="00081454" w:rsidRDefault="00497E97" w:rsidP="00AC597D">
      <w:pPr>
        <w:pStyle w:val="Sansinterligne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B34EC">
        <w:rPr>
          <w:rFonts w:ascii="Arial" w:hAnsi="Arial" w:cs="Arial"/>
        </w:rPr>
        <w:t>’appareil de production</w:t>
      </w:r>
      <w:r w:rsidRPr="00497E97">
        <w:rPr>
          <w:rFonts w:ascii="Arial" w:hAnsi="Arial" w:cs="Arial"/>
        </w:rPr>
        <w:t xml:space="preserve"> de </w:t>
      </w:r>
      <w:r w:rsidR="00EB34EC">
        <w:rPr>
          <w:rFonts w:ascii="Arial" w:hAnsi="Arial" w:cs="Arial"/>
        </w:rPr>
        <w:t xml:space="preserve">la </w:t>
      </w:r>
      <w:r w:rsidRPr="00497E97">
        <w:rPr>
          <w:rFonts w:ascii="Arial" w:hAnsi="Arial" w:cs="Arial"/>
        </w:rPr>
        <w:t xml:space="preserve">construction </w:t>
      </w:r>
      <w:r w:rsidR="00EB34EC">
        <w:rPr>
          <w:rFonts w:ascii="Arial" w:hAnsi="Arial" w:cs="Arial"/>
        </w:rPr>
        <w:t>conserve sa</w:t>
      </w:r>
      <w:r w:rsidR="004D4CD0">
        <w:rPr>
          <w:rFonts w:ascii="Arial" w:hAnsi="Arial" w:cs="Arial"/>
        </w:rPr>
        <w:t xml:space="preserve"> </w:t>
      </w:r>
      <w:r w:rsidRPr="00497E97">
        <w:rPr>
          <w:rFonts w:ascii="Arial" w:hAnsi="Arial" w:cs="Arial"/>
        </w:rPr>
        <w:t>dynamique</w:t>
      </w:r>
      <w:r w:rsidR="00C74261">
        <w:rPr>
          <w:rFonts w:ascii="Arial" w:hAnsi="Arial" w:cs="Arial"/>
        </w:rPr>
        <w:t xml:space="preserve"> (cf. graphique 1</w:t>
      </w:r>
      <w:r w:rsidR="00BD01BB">
        <w:rPr>
          <w:rFonts w:ascii="Arial" w:hAnsi="Arial" w:cs="Arial"/>
        </w:rPr>
        <w:t>3</w:t>
      </w:r>
      <w:r w:rsidR="00C74261">
        <w:rPr>
          <w:rFonts w:ascii="Arial" w:hAnsi="Arial" w:cs="Arial"/>
        </w:rPr>
        <w:t>)</w:t>
      </w:r>
      <w:r w:rsidRPr="00497E97">
        <w:rPr>
          <w:rFonts w:ascii="Arial" w:hAnsi="Arial" w:cs="Arial"/>
        </w:rPr>
        <w:t>. Ainsi, en glissement annuel sur sept mois à fin juillet 2019, les créations, avec ou sans micro-entrepreneurs, s’affichent en progression de près de 14</w:t>
      </w:r>
      <w:r w:rsidR="00EB34EC">
        <w:rPr>
          <w:rFonts w:ascii="Arial" w:hAnsi="Arial" w:cs="Arial"/>
        </w:rPr>
        <w:t> </w:t>
      </w:r>
      <w:r w:rsidRPr="00497E97">
        <w:rPr>
          <w:rFonts w:ascii="Arial" w:hAnsi="Arial" w:cs="Arial"/>
        </w:rPr>
        <w:t xml:space="preserve">%. </w:t>
      </w:r>
      <w:r w:rsidR="00EB34EC">
        <w:rPr>
          <w:rFonts w:ascii="Arial" w:hAnsi="Arial" w:cs="Arial"/>
        </w:rPr>
        <w:t>De plus</w:t>
      </w:r>
      <w:r w:rsidRPr="00497E97">
        <w:rPr>
          <w:rFonts w:ascii="Arial" w:hAnsi="Arial" w:cs="Arial"/>
        </w:rPr>
        <w:t>, en glissement annuel sur cinq mois à fin mai 2019, l</w:t>
      </w:r>
      <w:r w:rsidR="00EB34EC">
        <w:rPr>
          <w:rFonts w:ascii="Arial" w:hAnsi="Arial" w:cs="Arial"/>
        </w:rPr>
        <w:t>es défaillances reculent de 4,3 </w:t>
      </w:r>
      <w:r w:rsidRPr="00497E97">
        <w:rPr>
          <w:rFonts w:ascii="Arial" w:hAnsi="Arial" w:cs="Arial"/>
        </w:rPr>
        <w:t>%</w:t>
      </w:r>
      <w:r w:rsidR="004D4CD0">
        <w:rPr>
          <w:rFonts w:ascii="Arial" w:hAnsi="Arial" w:cs="Arial"/>
        </w:rPr>
        <w:t xml:space="preserve">, après la petite </w:t>
      </w:r>
      <w:r w:rsidR="00EB34EC">
        <w:rPr>
          <w:rFonts w:ascii="Arial" w:hAnsi="Arial" w:cs="Arial"/>
        </w:rPr>
        <w:t xml:space="preserve">et temporaire </w:t>
      </w:r>
      <w:r w:rsidR="004D4CD0">
        <w:rPr>
          <w:rFonts w:ascii="Arial" w:hAnsi="Arial" w:cs="Arial"/>
        </w:rPr>
        <w:t>hausse de 1,8 % observée au second semestre 2018 par rapport au second semestre 2017</w:t>
      </w:r>
      <w:r w:rsidRPr="00497E97">
        <w:rPr>
          <w:rFonts w:ascii="Arial" w:hAnsi="Arial" w:cs="Arial"/>
        </w:rPr>
        <w:t>.</w:t>
      </w:r>
    </w:p>
    <w:p w14:paraId="0ADD9DE1" w14:textId="7C33A468" w:rsidR="00AC597D" w:rsidRDefault="00AC597D">
      <w:pPr>
        <w:rPr>
          <w:rFonts w:ascii="Arial" w:hAnsi="Arial" w:cs="Arial"/>
        </w:rPr>
      </w:pPr>
    </w:p>
    <w:p w14:paraId="1156874A" w14:textId="77777777" w:rsidR="00EB34EC" w:rsidRDefault="00EB34E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p w14:paraId="367654C2" w14:textId="4C952919" w:rsidR="00A834A2" w:rsidRDefault="00A834A2" w:rsidP="00185847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Graphique 1</w:t>
      </w:r>
      <w:r w:rsidR="00BD01BB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r w:rsidRPr="009B1AD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Créations et défaillances </w:t>
      </w:r>
      <w:r w:rsidR="007353D5">
        <w:rPr>
          <w:rFonts w:ascii="Arial" w:hAnsi="Arial" w:cs="Arial"/>
          <w:b/>
        </w:rPr>
        <w:t xml:space="preserve">d’entreprises </w:t>
      </w:r>
      <w:r>
        <w:rPr>
          <w:rFonts w:ascii="Arial" w:hAnsi="Arial" w:cs="Arial"/>
          <w:b/>
        </w:rPr>
        <w:t>dans la construction</w:t>
      </w:r>
    </w:p>
    <w:p w14:paraId="1E4ACF4C" w14:textId="5C2622E8" w:rsidR="00DE3D73" w:rsidRPr="00C26FE7" w:rsidRDefault="004D30D4" w:rsidP="007350CD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D30D4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4AD2B339" wp14:editId="381FC9EE">
            <wp:extent cx="5187600" cy="3160800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39618" w14:textId="7D9A2A04" w:rsidR="004C5635" w:rsidRDefault="00A834A2" w:rsidP="00731C15">
      <w:pPr>
        <w:spacing w:before="30"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0447DC">
        <w:rPr>
          <w:rFonts w:ascii="Arial" w:hAnsi="Arial" w:cs="Arial"/>
          <w:i/>
          <w:sz w:val="20"/>
          <w:szCs w:val="20"/>
        </w:rPr>
        <w:t>Source : Insee</w:t>
      </w:r>
      <w:r w:rsidR="00445A1D">
        <w:rPr>
          <w:rFonts w:ascii="Arial" w:hAnsi="Arial" w:cs="Arial"/>
          <w:i/>
          <w:sz w:val="20"/>
          <w:szCs w:val="20"/>
        </w:rPr>
        <w:t> ;</w:t>
      </w:r>
      <w:r w:rsidRPr="000447DC">
        <w:rPr>
          <w:rFonts w:ascii="Arial" w:hAnsi="Arial" w:cs="Arial"/>
          <w:i/>
          <w:sz w:val="20"/>
          <w:szCs w:val="20"/>
        </w:rPr>
        <w:t xml:space="preserve"> Banque de </w:t>
      </w:r>
      <w:r w:rsidR="004C5635">
        <w:rPr>
          <w:rFonts w:ascii="Arial" w:hAnsi="Arial" w:cs="Arial"/>
          <w:i/>
          <w:sz w:val="20"/>
          <w:szCs w:val="20"/>
        </w:rPr>
        <w:t>France</w:t>
      </w:r>
    </w:p>
    <w:p w14:paraId="48C77E08" w14:textId="77777777" w:rsidR="001B682F" w:rsidRPr="001B682F" w:rsidRDefault="001B682F" w:rsidP="001B682F">
      <w:pPr>
        <w:spacing w:after="0" w:line="360" w:lineRule="auto"/>
        <w:rPr>
          <w:rFonts w:ascii="Arial" w:hAnsi="Arial" w:cs="Arial"/>
        </w:rPr>
      </w:pPr>
    </w:p>
    <w:p w14:paraId="0B2A8D02" w14:textId="5B64E58F" w:rsidR="00A834A2" w:rsidRPr="003A74CE" w:rsidRDefault="00A834A2" w:rsidP="001B682F">
      <w:pPr>
        <w:rPr>
          <w:rFonts w:ascii="Arial" w:hAnsi="Arial" w:cs="Arial"/>
          <w:u w:val="single"/>
        </w:rPr>
      </w:pPr>
      <w:r w:rsidRPr="003A74CE">
        <w:rPr>
          <w:rFonts w:ascii="Arial" w:hAnsi="Arial" w:cs="Arial"/>
          <w:u w:val="single"/>
        </w:rPr>
        <w:t>3.3 La situation financière des entreprises</w:t>
      </w:r>
    </w:p>
    <w:p w14:paraId="541F9B30" w14:textId="4185D232" w:rsidR="00987AE5" w:rsidRDefault="00987AE5" w:rsidP="00B05ECC">
      <w:pPr>
        <w:pStyle w:val="Sansinterligne"/>
        <w:spacing w:line="360" w:lineRule="auto"/>
        <w:jc w:val="both"/>
        <w:rPr>
          <w:rFonts w:ascii="Arial" w:hAnsi="Arial" w:cs="Arial"/>
        </w:rPr>
      </w:pPr>
    </w:p>
    <w:p w14:paraId="1571F59C" w14:textId="4DFCC999" w:rsidR="00743408" w:rsidRDefault="00C74261" w:rsidP="00C12431">
      <w:pPr>
        <w:pStyle w:val="Sansinterligne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C12431">
        <w:rPr>
          <w:rFonts w:ascii="Arial" w:hAnsi="Arial" w:cs="Arial"/>
        </w:rPr>
        <w:t xml:space="preserve">près </w:t>
      </w:r>
      <w:r w:rsidR="00EB34EC">
        <w:rPr>
          <w:rFonts w:ascii="Arial" w:hAnsi="Arial" w:cs="Arial"/>
        </w:rPr>
        <w:t xml:space="preserve">une </w:t>
      </w:r>
      <w:r w:rsidRPr="00C12431">
        <w:rPr>
          <w:rFonts w:ascii="Arial" w:hAnsi="Arial" w:cs="Arial"/>
        </w:rPr>
        <w:t>amélioration au premier</w:t>
      </w:r>
      <w:r>
        <w:rPr>
          <w:rFonts w:ascii="Arial" w:hAnsi="Arial" w:cs="Arial"/>
        </w:rPr>
        <w:t xml:space="preserve"> </w:t>
      </w:r>
      <w:r w:rsidRPr="00C12431">
        <w:rPr>
          <w:rFonts w:ascii="Arial" w:hAnsi="Arial" w:cs="Arial"/>
        </w:rPr>
        <w:t>trimestre</w:t>
      </w:r>
      <w:r>
        <w:rPr>
          <w:rFonts w:ascii="Arial" w:hAnsi="Arial" w:cs="Arial"/>
        </w:rPr>
        <w:t xml:space="preserve"> 2019</w:t>
      </w:r>
      <w:r w:rsidR="00EB34EC">
        <w:rPr>
          <w:rFonts w:ascii="Arial" w:hAnsi="Arial" w:cs="Arial"/>
        </w:rPr>
        <w:t>, les trésoreries</w:t>
      </w:r>
      <w:r>
        <w:rPr>
          <w:rFonts w:ascii="Arial" w:hAnsi="Arial" w:cs="Arial"/>
        </w:rPr>
        <w:t xml:space="preserve"> </w:t>
      </w:r>
      <w:r w:rsidR="00C12431" w:rsidRPr="00C12431">
        <w:rPr>
          <w:rFonts w:ascii="Arial" w:hAnsi="Arial" w:cs="Arial"/>
        </w:rPr>
        <w:t>ressortent globalement stables chez les artisans</w:t>
      </w:r>
      <w:r w:rsidR="00C12431">
        <w:rPr>
          <w:rFonts w:ascii="Arial" w:hAnsi="Arial" w:cs="Arial"/>
        </w:rPr>
        <w:t xml:space="preserve"> </w:t>
      </w:r>
      <w:r w:rsidR="00C12431" w:rsidRPr="00C12431">
        <w:rPr>
          <w:rFonts w:ascii="Arial" w:hAnsi="Arial" w:cs="Arial"/>
        </w:rPr>
        <w:t>comme chez les entreprises de plus de dix salariés</w:t>
      </w:r>
      <w:r>
        <w:rPr>
          <w:rFonts w:ascii="Arial" w:hAnsi="Arial" w:cs="Arial"/>
        </w:rPr>
        <w:t xml:space="preserve"> au deuxième trimestre 2019</w:t>
      </w:r>
      <w:r w:rsidR="001039EC">
        <w:rPr>
          <w:rFonts w:ascii="Arial" w:hAnsi="Arial" w:cs="Arial"/>
        </w:rPr>
        <w:t xml:space="preserve"> (cf. graphique 1</w:t>
      </w:r>
      <w:r w:rsidR="00BD01BB">
        <w:rPr>
          <w:rFonts w:ascii="Arial" w:hAnsi="Arial" w:cs="Arial"/>
        </w:rPr>
        <w:t>4</w:t>
      </w:r>
      <w:r w:rsidR="001039EC">
        <w:rPr>
          <w:rFonts w:ascii="Arial" w:hAnsi="Arial" w:cs="Arial"/>
        </w:rPr>
        <w:t>)</w:t>
      </w:r>
      <w:r w:rsidR="00C12431" w:rsidRPr="00C1243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C</w:t>
      </w:r>
      <w:r w:rsidR="00C12431" w:rsidRPr="00C12431">
        <w:rPr>
          <w:rFonts w:ascii="Arial" w:hAnsi="Arial" w:cs="Arial"/>
        </w:rPr>
        <w:t xml:space="preserve">ette évolution plutôt favorable </w:t>
      </w:r>
      <w:r>
        <w:rPr>
          <w:rFonts w:ascii="Arial" w:hAnsi="Arial" w:cs="Arial"/>
        </w:rPr>
        <w:t xml:space="preserve">depuis le début de l’année </w:t>
      </w:r>
      <w:r w:rsidR="00C12431" w:rsidRPr="00C12431">
        <w:rPr>
          <w:rFonts w:ascii="Arial" w:hAnsi="Arial" w:cs="Arial"/>
        </w:rPr>
        <w:t>tient compte du double versement du</w:t>
      </w:r>
      <w:r w:rsidR="00C12431">
        <w:rPr>
          <w:rFonts w:ascii="Arial" w:hAnsi="Arial" w:cs="Arial"/>
        </w:rPr>
        <w:t xml:space="preserve"> </w:t>
      </w:r>
      <w:r w:rsidR="00C12431" w:rsidRPr="00C12431">
        <w:rPr>
          <w:rFonts w:ascii="Arial" w:hAnsi="Arial" w:cs="Arial"/>
        </w:rPr>
        <w:t>CICE</w:t>
      </w:r>
      <w:r w:rsidR="00C12431">
        <w:rPr>
          <w:rFonts w:ascii="Arial" w:hAnsi="Arial" w:cs="Arial"/>
        </w:rPr>
        <w:t xml:space="preserve"> </w:t>
      </w:r>
      <w:r w:rsidR="00C12431" w:rsidRPr="00C12431">
        <w:rPr>
          <w:rFonts w:ascii="Arial" w:hAnsi="Arial" w:cs="Arial"/>
        </w:rPr>
        <w:t>au titre des salaires 2018 et de la baisse de charges 2019 qui l’a remplacé.</w:t>
      </w:r>
    </w:p>
    <w:p w14:paraId="7D44F0E3" w14:textId="77777777" w:rsidR="00743408" w:rsidRDefault="00743408" w:rsidP="00C12431">
      <w:pPr>
        <w:pStyle w:val="Sansinterligne"/>
        <w:spacing w:line="360" w:lineRule="auto"/>
        <w:jc w:val="both"/>
        <w:rPr>
          <w:rFonts w:ascii="Arial" w:hAnsi="Arial" w:cs="Arial"/>
        </w:rPr>
      </w:pPr>
    </w:p>
    <w:p w14:paraId="49B583F4" w14:textId="77777777" w:rsidR="00EB34EC" w:rsidRDefault="00EB34E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ECAD57" w14:textId="1BC4030B" w:rsidR="00B76588" w:rsidRPr="000965EA" w:rsidRDefault="00B76588" w:rsidP="009B0A4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Graphique </w:t>
      </w:r>
      <w:r w:rsidR="00FC6170">
        <w:rPr>
          <w:rFonts w:ascii="Arial" w:hAnsi="Arial" w:cs="Arial"/>
        </w:rPr>
        <w:t>1</w:t>
      </w:r>
      <w:r w:rsidR="00BD01BB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</w:t>
      </w:r>
      <w:r w:rsidRPr="009B1AD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Opinions des chefs d’entreprise sur la trésorerie dans le bâtiment</w:t>
      </w:r>
    </w:p>
    <w:p w14:paraId="4CC29209" w14:textId="7A7D8BD7" w:rsidR="00B76588" w:rsidRDefault="004D30D4" w:rsidP="00B76588">
      <w:pPr>
        <w:spacing w:after="0" w:line="360" w:lineRule="auto"/>
        <w:jc w:val="center"/>
        <w:rPr>
          <w:rFonts w:ascii="Arial" w:hAnsi="Arial" w:cs="Arial"/>
        </w:rPr>
      </w:pPr>
      <w:r w:rsidRPr="004D30D4">
        <w:rPr>
          <w:rFonts w:ascii="Arial" w:hAnsi="Arial" w:cs="Arial"/>
          <w:noProof/>
          <w:lang w:eastAsia="fr-FR"/>
        </w:rPr>
        <w:drawing>
          <wp:inline distT="0" distB="0" distL="0" distR="0" wp14:anchorId="4FC9DD94" wp14:editId="4D6AD585">
            <wp:extent cx="5187600" cy="3160800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C3474" w14:textId="5CCBA39C" w:rsidR="00596E2F" w:rsidRDefault="00B76588" w:rsidP="007E24A5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0965EA">
        <w:rPr>
          <w:rFonts w:ascii="Arial" w:hAnsi="Arial" w:cs="Arial"/>
          <w:i/>
          <w:sz w:val="20"/>
          <w:szCs w:val="20"/>
        </w:rPr>
        <w:t>Source : Insee, enquête mensuelle de conjoncture dans le bâtiment et enquête trimestrielle de conjoncture dans l’artisanat du bâtiment</w:t>
      </w:r>
    </w:p>
    <w:p w14:paraId="0B507A6E" w14:textId="62B98550" w:rsidR="00B03A1D" w:rsidRDefault="00B03A1D" w:rsidP="0055097A">
      <w:pPr>
        <w:spacing w:after="0" w:line="360" w:lineRule="auto"/>
        <w:rPr>
          <w:rFonts w:ascii="Arial" w:hAnsi="Arial" w:cs="Arial"/>
        </w:rPr>
      </w:pPr>
    </w:p>
    <w:p w14:paraId="3C37EC5B" w14:textId="3B3D7AE0" w:rsidR="0055097A" w:rsidRDefault="00EB34EC" w:rsidP="005A168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247E26" w:rsidRPr="00247E26">
        <w:rPr>
          <w:rFonts w:ascii="Arial" w:hAnsi="Arial" w:cs="Arial"/>
        </w:rPr>
        <w:t>nfin</w:t>
      </w:r>
      <w:r>
        <w:rPr>
          <w:rFonts w:ascii="Arial" w:hAnsi="Arial" w:cs="Arial"/>
        </w:rPr>
        <w:t>, les marges dans la construction connaissent une</w:t>
      </w:r>
      <w:r w:rsidR="00247E26" w:rsidRPr="00247E26">
        <w:rPr>
          <w:rFonts w:ascii="Arial" w:hAnsi="Arial" w:cs="Arial"/>
        </w:rPr>
        <w:t xml:space="preserve"> première inflexion</w:t>
      </w:r>
      <w:r>
        <w:rPr>
          <w:rFonts w:ascii="Arial" w:hAnsi="Arial" w:cs="Arial"/>
        </w:rPr>
        <w:t xml:space="preserve"> positive </w:t>
      </w:r>
      <w:r w:rsidR="00247E26" w:rsidRPr="00247E26">
        <w:rPr>
          <w:rFonts w:ascii="Arial" w:hAnsi="Arial" w:cs="Arial"/>
        </w:rPr>
        <w:t xml:space="preserve">après quatre trimestres de baisse. Une fois corrigé de la rémunération </w:t>
      </w:r>
      <w:r w:rsidR="00A817E1">
        <w:rPr>
          <w:rFonts w:ascii="Arial" w:hAnsi="Arial" w:cs="Arial"/>
        </w:rPr>
        <w:t xml:space="preserve">du travail </w:t>
      </w:r>
      <w:r w:rsidR="00247E26" w:rsidRPr="00247E26">
        <w:rPr>
          <w:rFonts w:ascii="Arial" w:hAnsi="Arial" w:cs="Arial"/>
        </w:rPr>
        <w:t>des chefs d’entreprise non salariés, l’indicateur se lit en hausse d’1,1 point par rapport au premier trime</w:t>
      </w:r>
      <w:r w:rsidR="00A817E1">
        <w:rPr>
          <w:rFonts w:ascii="Arial" w:hAnsi="Arial" w:cs="Arial"/>
        </w:rPr>
        <w:t>stre 2019 pour s’établir à 25,6 </w:t>
      </w:r>
      <w:r w:rsidR="00247E26" w:rsidRPr="00247E26">
        <w:rPr>
          <w:rFonts w:ascii="Arial" w:hAnsi="Arial" w:cs="Arial"/>
        </w:rPr>
        <w:t>%</w:t>
      </w:r>
      <w:r w:rsidR="001039EC">
        <w:rPr>
          <w:rFonts w:ascii="Arial" w:hAnsi="Arial" w:cs="Arial"/>
        </w:rPr>
        <w:t xml:space="preserve"> (cf. graphique 1</w:t>
      </w:r>
      <w:r w:rsidR="00BD01BB">
        <w:rPr>
          <w:rFonts w:ascii="Arial" w:hAnsi="Arial" w:cs="Arial"/>
        </w:rPr>
        <w:t>5</w:t>
      </w:r>
      <w:r w:rsidR="001039EC">
        <w:rPr>
          <w:rFonts w:ascii="Arial" w:hAnsi="Arial" w:cs="Arial"/>
        </w:rPr>
        <w:t>)</w:t>
      </w:r>
      <w:r w:rsidR="00247E26" w:rsidRPr="00247E26">
        <w:rPr>
          <w:rFonts w:ascii="Arial" w:hAnsi="Arial" w:cs="Arial"/>
        </w:rPr>
        <w:t>. Même s’il convient d</w:t>
      </w:r>
      <w:r w:rsidR="00A817E1">
        <w:rPr>
          <w:rFonts w:ascii="Arial" w:hAnsi="Arial" w:cs="Arial"/>
        </w:rPr>
        <w:t>e rester prudent</w:t>
      </w:r>
      <w:r w:rsidR="00247E26" w:rsidRPr="00247E26">
        <w:rPr>
          <w:rFonts w:ascii="Arial" w:hAnsi="Arial" w:cs="Arial"/>
        </w:rPr>
        <w:t>, il semblerait que l’activité, toujours porteuse</w:t>
      </w:r>
      <w:r w:rsidR="001039EC">
        <w:rPr>
          <w:rFonts w:ascii="Arial" w:hAnsi="Arial" w:cs="Arial"/>
        </w:rPr>
        <w:t>,</w:t>
      </w:r>
      <w:r w:rsidR="00247E26" w:rsidRPr="00247E26">
        <w:rPr>
          <w:rFonts w:ascii="Arial" w:hAnsi="Arial" w:cs="Arial"/>
        </w:rPr>
        <w:t xml:space="preserve"> se répercute enfin plus favorablement dans les comptes des entreprises.</w:t>
      </w:r>
    </w:p>
    <w:p w14:paraId="2DA6D78C" w14:textId="77777777" w:rsidR="00743408" w:rsidRDefault="00743408" w:rsidP="005A1680">
      <w:pPr>
        <w:spacing w:after="0" w:line="360" w:lineRule="auto"/>
        <w:jc w:val="both"/>
        <w:rPr>
          <w:rFonts w:ascii="Arial" w:hAnsi="Arial" w:cs="Arial"/>
        </w:rPr>
      </w:pPr>
    </w:p>
    <w:p w14:paraId="1FFB87B2" w14:textId="77777777" w:rsidR="00247E26" w:rsidRDefault="00247E2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5336C51" w14:textId="314106E6" w:rsidR="00B03A1D" w:rsidRPr="000965EA" w:rsidRDefault="00B03A1D" w:rsidP="005516B2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Graphique 1</w:t>
      </w:r>
      <w:r w:rsidR="00BD01BB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r w:rsidRPr="009B1AD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5516B2">
        <w:rPr>
          <w:rFonts w:ascii="Arial" w:hAnsi="Arial" w:cs="Arial"/>
          <w:b/>
        </w:rPr>
        <w:t xml:space="preserve">Taux de marge </w:t>
      </w:r>
      <w:r w:rsidR="005516B2" w:rsidRPr="005516B2">
        <w:rPr>
          <w:rFonts w:ascii="Arial" w:hAnsi="Arial" w:cs="Arial"/>
        </w:rPr>
        <w:t>(EBE / valeur ajoutée)</w:t>
      </w:r>
      <w:r w:rsidR="005516B2">
        <w:rPr>
          <w:rFonts w:ascii="Arial" w:hAnsi="Arial" w:cs="Arial"/>
          <w:b/>
        </w:rPr>
        <w:t xml:space="preserve"> corrigé de la rémunération des chefs d’entreprise non salariés</w:t>
      </w:r>
    </w:p>
    <w:p w14:paraId="50CF4CE5" w14:textId="7054AABA" w:rsidR="00B03A1D" w:rsidRDefault="004D30D4" w:rsidP="005516B2">
      <w:pPr>
        <w:spacing w:after="0" w:line="360" w:lineRule="auto"/>
        <w:jc w:val="center"/>
        <w:rPr>
          <w:rFonts w:ascii="Arial" w:hAnsi="Arial" w:cs="Arial"/>
        </w:rPr>
      </w:pPr>
      <w:r w:rsidRPr="004D30D4">
        <w:rPr>
          <w:rFonts w:ascii="Arial" w:hAnsi="Arial" w:cs="Arial"/>
          <w:noProof/>
          <w:lang w:eastAsia="fr-FR"/>
        </w:rPr>
        <w:drawing>
          <wp:inline distT="0" distB="0" distL="0" distR="0" wp14:anchorId="29F4D0E5" wp14:editId="6EE734BF">
            <wp:extent cx="5187600" cy="31680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5D591" w14:textId="1BD97FAB" w:rsidR="00B03A1D" w:rsidRPr="00596E2F" w:rsidRDefault="00B03A1D" w:rsidP="00B03A1D">
      <w:pPr>
        <w:spacing w:after="0" w:line="240" w:lineRule="auto"/>
        <w:jc w:val="center"/>
        <w:rPr>
          <w:rFonts w:ascii="Arial" w:hAnsi="Arial" w:cs="Arial"/>
        </w:rPr>
      </w:pPr>
      <w:r w:rsidRPr="000965EA">
        <w:rPr>
          <w:rFonts w:ascii="Arial" w:hAnsi="Arial" w:cs="Arial"/>
          <w:i/>
          <w:sz w:val="20"/>
          <w:szCs w:val="20"/>
        </w:rPr>
        <w:t xml:space="preserve">Source : </w:t>
      </w:r>
      <w:r w:rsidR="005516B2">
        <w:rPr>
          <w:rFonts w:ascii="Arial" w:hAnsi="Arial" w:cs="Arial"/>
          <w:i/>
          <w:sz w:val="20"/>
          <w:szCs w:val="20"/>
        </w:rPr>
        <w:t>FFB à partir de l’</w:t>
      </w:r>
      <w:r w:rsidRPr="000965EA">
        <w:rPr>
          <w:rFonts w:ascii="Arial" w:hAnsi="Arial" w:cs="Arial"/>
          <w:i/>
          <w:sz w:val="20"/>
          <w:szCs w:val="20"/>
        </w:rPr>
        <w:t xml:space="preserve">Insee, </w:t>
      </w:r>
      <w:r w:rsidR="005516B2">
        <w:rPr>
          <w:rFonts w:ascii="Arial" w:hAnsi="Arial" w:cs="Arial"/>
          <w:i/>
          <w:sz w:val="20"/>
          <w:szCs w:val="20"/>
        </w:rPr>
        <w:t>Comptes de la Nation</w:t>
      </w:r>
    </w:p>
    <w:p w14:paraId="4DD4E636" w14:textId="1B8C5C6C" w:rsidR="00B03A1D" w:rsidRDefault="00B03A1D" w:rsidP="00386F34">
      <w:pPr>
        <w:spacing w:after="0" w:line="360" w:lineRule="auto"/>
        <w:jc w:val="both"/>
        <w:rPr>
          <w:rFonts w:ascii="Arial" w:hAnsi="Arial" w:cs="Arial"/>
        </w:rPr>
      </w:pPr>
    </w:p>
    <w:p w14:paraId="34EFF472" w14:textId="1469C713" w:rsidR="00D41AD9" w:rsidRDefault="00247E26" w:rsidP="005A1680">
      <w:pPr>
        <w:spacing w:after="0" w:line="360" w:lineRule="auto"/>
        <w:jc w:val="both"/>
        <w:rPr>
          <w:rFonts w:ascii="Arial" w:hAnsi="Arial" w:cs="Arial"/>
        </w:rPr>
      </w:pPr>
      <w:r w:rsidRPr="00247E26">
        <w:rPr>
          <w:rFonts w:ascii="Arial" w:hAnsi="Arial" w:cs="Arial"/>
        </w:rPr>
        <w:t xml:space="preserve">D’ailleurs, l’évolution assez favorable des perspectives de prix déclarées par les chefs d’entreprise du bâtiment de plus de dix salariés </w:t>
      </w:r>
      <w:r w:rsidR="00BD01BB">
        <w:rPr>
          <w:rFonts w:ascii="Arial" w:hAnsi="Arial" w:cs="Arial"/>
        </w:rPr>
        <w:t>(cf. graphique 16</w:t>
      </w:r>
      <w:r w:rsidR="00FF67D7">
        <w:rPr>
          <w:rFonts w:ascii="Arial" w:hAnsi="Arial" w:cs="Arial"/>
        </w:rPr>
        <w:t xml:space="preserve">) </w:t>
      </w:r>
      <w:r w:rsidRPr="00247E26">
        <w:rPr>
          <w:rFonts w:ascii="Arial" w:hAnsi="Arial" w:cs="Arial"/>
        </w:rPr>
        <w:t>milite en ce sens.</w:t>
      </w:r>
    </w:p>
    <w:p w14:paraId="59CDE1AD" w14:textId="77777777" w:rsidR="00247E26" w:rsidRDefault="00247E26" w:rsidP="005A1680">
      <w:pPr>
        <w:spacing w:after="0" w:line="360" w:lineRule="auto"/>
        <w:jc w:val="both"/>
        <w:rPr>
          <w:rFonts w:ascii="Arial" w:hAnsi="Arial" w:cs="Arial"/>
        </w:rPr>
      </w:pPr>
    </w:p>
    <w:p w14:paraId="2A3193D4" w14:textId="1812784F" w:rsidR="00D41AD9" w:rsidRDefault="00D41AD9" w:rsidP="00D41AD9">
      <w:pPr>
        <w:spacing w:after="0" w:line="360" w:lineRule="auto"/>
        <w:jc w:val="center"/>
        <w:rPr>
          <w:rFonts w:ascii="Arial" w:hAnsi="Arial" w:cs="Arial"/>
        </w:rPr>
      </w:pPr>
      <w:r w:rsidRPr="00D714FD">
        <w:rPr>
          <w:rFonts w:ascii="Arial" w:hAnsi="Arial" w:cs="Arial"/>
        </w:rPr>
        <w:t>Graphique 1</w:t>
      </w:r>
      <w:r w:rsidR="00BD01BB">
        <w:rPr>
          <w:rFonts w:ascii="Arial" w:hAnsi="Arial" w:cs="Arial"/>
        </w:rPr>
        <w:t>6</w:t>
      </w:r>
      <w:r w:rsidRPr="00D714FD">
        <w:rPr>
          <w:rFonts w:ascii="Arial" w:hAnsi="Arial" w:cs="Arial"/>
        </w:rPr>
        <w:t xml:space="preserve"> – </w:t>
      </w:r>
      <w:r>
        <w:rPr>
          <w:rFonts w:ascii="Arial" w:hAnsi="Arial" w:cs="Arial"/>
          <w:b/>
        </w:rPr>
        <w:t>Opinions des chefs d’entreprise de plus de dix salariés sur les perspectives de prix dans le bâtiment</w:t>
      </w:r>
    </w:p>
    <w:p w14:paraId="4B0103E8" w14:textId="645B6EE6" w:rsidR="00D41AD9" w:rsidRDefault="004D30D4" w:rsidP="00D41AD9">
      <w:pPr>
        <w:spacing w:after="0" w:line="360" w:lineRule="auto"/>
        <w:jc w:val="center"/>
        <w:rPr>
          <w:rFonts w:ascii="Arial" w:hAnsi="Arial" w:cs="Arial"/>
        </w:rPr>
      </w:pPr>
      <w:r w:rsidRPr="004D30D4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230575AE" wp14:editId="3603F5D6">
            <wp:extent cx="5187600" cy="3160800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B799" w14:textId="77777777" w:rsidR="00D41AD9" w:rsidRPr="000965EA" w:rsidRDefault="00D41AD9" w:rsidP="00D41AD9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0965EA">
        <w:rPr>
          <w:rFonts w:ascii="Arial" w:hAnsi="Arial" w:cs="Arial"/>
          <w:i/>
          <w:sz w:val="20"/>
          <w:szCs w:val="20"/>
        </w:rPr>
        <w:t xml:space="preserve">Source : Insee, enquête mensuelle </w:t>
      </w:r>
      <w:r>
        <w:rPr>
          <w:rFonts w:ascii="Arial" w:hAnsi="Arial" w:cs="Arial"/>
          <w:i/>
          <w:sz w:val="20"/>
          <w:szCs w:val="20"/>
        </w:rPr>
        <w:t>de conjoncture dans le bâtiment</w:t>
      </w:r>
    </w:p>
    <w:sectPr w:rsidR="00D41AD9" w:rsidRPr="000965EA" w:rsidSect="00771D10"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17210" w14:textId="77777777" w:rsidR="003755F2" w:rsidRDefault="003755F2" w:rsidP="005C55E7">
      <w:pPr>
        <w:spacing w:after="0" w:line="240" w:lineRule="auto"/>
      </w:pPr>
      <w:r>
        <w:separator/>
      </w:r>
    </w:p>
  </w:endnote>
  <w:endnote w:type="continuationSeparator" w:id="0">
    <w:p w14:paraId="27A7CD96" w14:textId="77777777" w:rsidR="003755F2" w:rsidRDefault="003755F2" w:rsidP="005C55E7">
      <w:pPr>
        <w:spacing w:after="0" w:line="240" w:lineRule="auto"/>
      </w:pPr>
      <w:r>
        <w:continuationSeparator/>
      </w:r>
    </w:p>
  </w:endnote>
  <w:endnote w:type="continuationNotice" w:id="1">
    <w:p w14:paraId="288C6096" w14:textId="77777777" w:rsidR="003755F2" w:rsidRDefault="003755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7751464"/>
      <w:docPartObj>
        <w:docPartGallery w:val="Page Numbers (Bottom of Page)"/>
        <w:docPartUnique/>
      </w:docPartObj>
    </w:sdtPr>
    <w:sdtEndPr/>
    <w:sdtContent>
      <w:p w14:paraId="4A155BC9" w14:textId="6AA912A3" w:rsidR="00DA7A51" w:rsidRDefault="00DA7A5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B19">
          <w:rPr>
            <w:noProof/>
          </w:rPr>
          <w:t>19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1"/>
      <w:gridCol w:w="7791"/>
    </w:tblGrid>
    <w:tr w:rsidR="00DA7A51" w:rsidRPr="00FF2A70" w14:paraId="6809DE7C" w14:textId="77777777" w:rsidTr="00CF77F4">
      <w:tc>
        <w:tcPr>
          <w:tcW w:w="1271" w:type="dxa"/>
        </w:tcPr>
        <w:p w14:paraId="5DEB9FB4" w14:textId="77777777" w:rsidR="00DA7A51" w:rsidRPr="00FF2A70" w:rsidRDefault="00DA7A51" w:rsidP="00FF2A70">
          <w:pPr>
            <w:rPr>
              <w:rFonts w:ascii="Calibri" w:eastAsia="Calibri" w:hAnsi="Calibri" w:cs="Times New Roman"/>
            </w:rPr>
          </w:pPr>
          <w:r w:rsidRPr="00FF2A70">
            <w:rPr>
              <w:rFonts w:ascii="System" w:eastAsia="Calibri" w:hAnsi="System" w:cs="Arial"/>
              <w:b/>
              <w:noProof/>
              <w:lang w:eastAsia="fr-FR"/>
            </w:rPr>
            <w:drawing>
              <wp:inline distT="0" distB="0" distL="0" distR="0" wp14:anchorId="5DA92392" wp14:editId="3CC680CA">
                <wp:extent cx="638175" cy="600075"/>
                <wp:effectExtent l="0" t="0" r="9525" b="9525"/>
                <wp:docPr id="13" name="Image 13" descr="Afaq_9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2" descr="Afaq_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1" w:type="dxa"/>
        </w:tcPr>
        <w:p w14:paraId="335A94BB" w14:textId="77777777" w:rsidR="00DA7A51" w:rsidRPr="00FF2A70" w:rsidRDefault="00DA7A51" w:rsidP="00FF2A70">
          <w:pPr>
            <w:widowControl w:val="0"/>
            <w:overflowPunct w:val="0"/>
            <w:autoSpaceDE w:val="0"/>
            <w:autoSpaceDN w:val="0"/>
            <w:adjustRightInd w:val="0"/>
            <w:rPr>
              <w:rFonts w:ascii="Arial" w:eastAsia="Times New Roman" w:hAnsi="Arial" w:cs="Times New Roman"/>
              <w:b/>
              <w:sz w:val="16"/>
              <w:szCs w:val="16"/>
              <w:lang w:eastAsia="fr-FR"/>
            </w:rPr>
          </w:pPr>
          <w:r w:rsidRPr="00FF2A70">
            <w:rPr>
              <w:rFonts w:ascii="Arial" w:eastAsia="Times New Roman" w:hAnsi="Arial" w:cs="Times New Roman"/>
              <w:b/>
              <w:sz w:val="16"/>
              <w:szCs w:val="16"/>
              <w:lang w:eastAsia="fr-FR"/>
            </w:rPr>
            <w:t>FEDERATION FRANCAISE DU BATIMENT</w:t>
          </w:r>
        </w:p>
        <w:p w14:paraId="3508A9B1" w14:textId="77777777" w:rsidR="00DA7A51" w:rsidRPr="00FF2A70" w:rsidRDefault="00DA7A51" w:rsidP="00FF2A70">
          <w:pPr>
            <w:widowControl w:val="0"/>
            <w:overflowPunct w:val="0"/>
            <w:autoSpaceDE w:val="0"/>
            <w:autoSpaceDN w:val="0"/>
            <w:adjustRightInd w:val="0"/>
            <w:rPr>
              <w:rFonts w:ascii="Arial" w:eastAsia="Times New Roman" w:hAnsi="Arial" w:cs="Times New Roman"/>
              <w:b/>
              <w:sz w:val="16"/>
              <w:szCs w:val="16"/>
              <w:lang w:eastAsia="fr-FR"/>
            </w:rPr>
          </w:pPr>
          <w:r w:rsidRPr="00FF2A70">
            <w:rPr>
              <w:rFonts w:ascii="Arial" w:eastAsia="Times New Roman" w:hAnsi="Arial" w:cs="Times New Roman"/>
              <w:b/>
              <w:sz w:val="16"/>
              <w:szCs w:val="16"/>
              <w:lang w:eastAsia="fr-FR"/>
            </w:rPr>
            <w:t>33 avenue Kléber</w:t>
          </w:r>
        </w:p>
        <w:p w14:paraId="2862CA63" w14:textId="77777777" w:rsidR="00DA7A51" w:rsidRPr="00FF2A70" w:rsidRDefault="00DA7A51" w:rsidP="00FF2A70">
          <w:pPr>
            <w:widowControl w:val="0"/>
            <w:overflowPunct w:val="0"/>
            <w:autoSpaceDE w:val="0"/>
            <w:autoSpaceDN w:val="0"/>
            <w:adjustRightInd w:val="0"/>
            <w:rPr>
              <w:rFonts w:ascii="Arial" w:eastAsia="Times New Roman" w:hAnsi="Arial" w:cs="Times New Roman"/>
              <w:b/>
              <w:sz w:val="16"/>
              <w:szCs w:val="16"/>
              <w:lang w:eastAsia="fr-FR"/>
            </w:rPr>
          </w:pPr>
          <w:r w:rsidRPr="00FF2A70">
            <w:rPr>
              <w:rFonts w:ascii="Arial" w:eastAsia="Times New Roman" w:hAnsi="Arial" w:cs="Times New Roman"/>
              <w:b/>
              <w:sz w:val="16"/>
              <w:szCs w:val="16"/>
              <w:lang w:eastAsia="fr-FR"/>
            </w:rPr>
            <w:t>75784 PARIS Cedex 16</w:t>
          </w:r>
        </w:p>
        <w:p w14:paraId="70FAFEB2" w14:textId="77777777" w:rsidR="00DA7A51" w:rsidRPr="00FF2A70" w:rsidRDefault="00DA7A51" w:rsidP="00FF2A70">
          <w:pPr>
            <w:rPr>
              <w:rFonts w:ascii="Calibri" w:eastAsia="Calibri" w:hAnsi="Calibri" w:cs="Times New Roman"/>
            </w:rPr>
          </w:pPr>
          <w:r w:rsidRPr="00FF2A70">
            <w:rPr>
              <w:rFonts w:ascii="Arial" w:eastAsia="Times New Roman" w:hAnsi="Arial" w:cs="Times New Roman"/>
              <w:b/>
              <w:sz w:val="16"/>
              <w:szCs w:val="16"/>
              <w:lang w:eastAsia="fr-FR"/>
            </w:rPr>
            <w:t>Téléphone : 01 40 69 51 00 – Télécopie : 01 45 53 58 77</w:t>
          </w:r>
        </w:p>
      </w:tc>
    </w:tr>
  </w:tbl>
  <w:p w14:paraId="2F89F620" w14:textId="77777777" w:rsidR="00DA7A51" w:rsidRDefault="00DA7A51" w:rsidP="00A110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20293" w14:textId="77777777" w:rsidR="003755F2" w:rsidRDefault="003755F2" w:rsidP="005C55E7">
      <w:pPr>
        <w:spacing w:after="0" w:line="240" w:lineRule="auto"/>
      </w:pPr>
      <w:r>
        <w:separator/>
      </w:r>
    </w:p>
  </w:footnote>
  <w:footnote w:type="continuationSeparator" w:id="0">
    <w:p w14:paraId="769AEEDF" w14:textId="77777777" w:rsidR="003755F2" w:rsidRDefault="003755F2" w:rsidP="005C55E7">
      <w:pPr>
        <w:spacing w:after="0" w:line="240" w:lineRule="auto"/>
      </w:pPr>
      <w:r>
        <w:continuationSeparator/>
      </w:r>
    </w:p>
  </w:footnote>
  <w:footnote w:type="continuationNotice" w:id="1">
    <w:p w14:paraId="6F185037" w14:textId="77777777" w:rsidR="003755F2" w:rsidRDefault="003755F2">
      <w:pPr>
        <w:spacing w:after="0" w:line="240" w:lineRule="auto"/>
      </w:pPr>
    </w:p>
  </w:footnote>
  <w:footnote w:id="2">
    <w:p w14:paraId="34E29A1A" w14:textId="77777777" w:rsidR="00DA7A51" w:rsidRPr="00AB302B" w:rsidRDefault="00DA7A51" w:rsidP="00EF2D2E">
      <w:pPr>
        <w:pStyle w:val="Notedebasdepage"/>
        <w:jc w:val="both"/>
        <w:rPr>
          <w:rFonts w:ascii="Arial" w:hAnsi="Arial" w:cs="Arial"/>
        </w:rPr>
      </w:pPr>
      <w:r w:rsidRPr="00AB302B">
        <w:rPr>
          <w:rStyle w:val="Appelnotedebasdep"/>
          <w:rFonts w:ascii="Arial" w:hAnsi="Arial" w:cs="Arial"/>
        </w:rPr>
        <w:footnoteRef/>
      </w:r>
      <w:r w:rsidRPr="00AB302B">
        <w:rPr>
          <w:rFonts w:ascii="Arial" w:hAnsi="Arial" w:cs="Arial"/>
        </w:rPr>
        <w:t xml:space="preserve"> En nombre de logements en date réelle estimée (DRE), y compris construction sur existant, en France entière.</w:t>
      </w:r>
    </w:p>
  </w:footnote>
  <w:footnote w:id="3">
    <w:p w14:paraId="4DE96FB1" w14:textId="77777777" w:rsidR="00DA7A51" w:rsidRPr="00AB302B" w:rsidRDefault="00DA7A51" w:rsidP="0000025A">
      <w:pPr>
        <w:pStyle w:val="Notedebasdepage"/>
        <w:jc w:val="both"/>
        <w:rPr>
          <w:rFonts w:ascii="Arial" w:hAnsi="Arial" w:cs="Arial"/>
        </w:rPr>
      </w:pPr>
      <w:r w:rsidRPr="00AB302B">
        <w:rPr>
          <w:rStyle w:val="Appelnotedebasdep"/>
          <w:rFonts w:ascii="Arial" w:hAnsi="Arial" w:cs="Arial"/>
        </w:rPr>
        <w:footnoteRef/>
      </w:r>
      <w:r w:rsidRPr="00AB302B">
        <w:rPr>
          <w:rFonts w:ascii="Arial" w:hAnsi="Arial" w:cs="Arial"/>
        </w:rPr>
        <w:t xml:space="preserve"> En </w:t>
      </w:r>
      <w:r>
        <w:rPr>
          <w:rFonts w:ascii="Arial" w:hAnsi="Arial" w:cs="Arial"/>
        </w:rPr>
        <w:t>m² de surface de plancher e</w:t>
      </w:r>
      <w:r w:rsidRPr="00AB302B">
        <w:rPr>
          <w:rFonts w:ascii="Arial" w:hAnsi="Arial" w:cs="Arial"/>
        </w:rPr>
        <w:t xml:space="preserve">n date </w:t>
      </w:r>
      <w:r>
        <w:rPr>
          <w:rFonts w:ascii="Arial" w:hAnsi="Arial" w:cs="Arial"/>
        </w:rPr>
        <w:t xml:space="preserve">de prise en compte </w:t>
      </w:r>
      <w:r w:rsidRPr="00AB302B">
        <w:rPr>
          <w:rFonts w:ascii="Arial" w:hAnsi="Arial" w:cs="Arial"/>
        </w:rPr>
        <w:t>(D</w:t>
      </w:r>
      <w:r>
        <w:rPr>
          <w:rFonts w:ascii="Arial" w:hAnsi="Arial" w:cs="Arial"/>
        </w:rPr>
        <w:t>PC</w:t>
      </w:r>
      <w:r w:rsidRPr="00AB302B">
        <w:rPr>
          <w:rFonts w:ascii="Arial" w:hAnsi="Arial" w:cs="Arial"/>
        </w:rPr>
        <w:t>), y compris construction sur existant, en France entière.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50D53" w14:textId="767BBF90" w:rsidR="00DA7A51" w:rsidRPr="00FF2A70" w:rsidRDefault="00DA7A51" w:rsidP="00373011">
    <w:pPr>
      <w:tabs>
        <w:tab w:val="center" w:pos="4536"/>
        <w:tab w:val="right" w:pos="8647"/>
      </w:tabs>
      <w:spacing w:after="0" w:line="240" w:lineRule="auto"/>
      <w:jc w:val="both"/>
      <w:rPr>
        <w:rFonts w:ascii="Calibri" w:eastAsia="Calibri" w:hAnsi="Calibri" w:cs="Times New Roman"/>
      </w:rPr>
    </w:pPr>
    <w:r w:rsidRPr="00FF2A70">
      <w:rPr>
        <w:rFonts w:ascii="Calibri" w:eastAsia="Calibri" w:hAnsi="Calibri" w:cs="Arial"/>
        <w:noProof/>
        <w:lang w:eastAsia="fr-FR"/>
      </w:rPr>
      <w:drawing>
        <wp:inline distT="0" distB="0" distL="0" distR="0" wp14:anchorId="67EC40F2" wp14:editId="6D846D8F">
          <wp:extent cx="2333625" cy="981075"/>
          <wp:effectExtent l="0" t="0" r="9525" b="9525"/>
          <wp:docPr id="11" name="Image 11" descr="logoffb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logoffb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lang w:eastAsia="fr-FR"/>
      </w:rPr>
      <w:tab/>
    </w:r>
    <w:r>
      <w:rPr>
        <w:rFonts w:ascii="Arial" w:eastAsia="Times New Roman" w:hAnsi="Arial" w:cs="Arial"/>
        <w:lang w:eastAsia="fr-FR"/>
      </w:rPr>
      <w:tab/>
    </w:r>
    <w:r w:rsidRPr="00FF2A70">
      <w:rPr>
        <w:rFonts w:ascii="Arial" w:eastAsia="Times New Roman" w:hAnsi="Arial" w:cs="Arial"/>
        <w:lang w:eastAsia="fr-FR"/>
      </w:rPr>
      <w:t xml:space="preserve">Paris, </w:t>
    </w:r>
    <w:r>
      <w:rPr>
        <w:rFonts w:ascii="Arial" w:eastAsia="Times New Roman" w:hAnsi="Arial" w:cs="Arial"/>
        <w:lang w:eastAsia="fr-FR"/>
      </w:rPr>
      <w:t xml:space="preserve">10 septembre </w:t>
    </w:r>
    <w:r w:rsidRPr="00FF2A70">
      <w:rPr>
        <w:rFonts w:ascii="Arial" w:eastAsia="Times New Roman" w:hAnsi="Arial" w:cs="Arial"/>
        <w:lang w:eastAsia="fr-FR"/>
      </w:rPr>
      <w:t>201</w:t>
    </w:r>
    <w:r>
      <w:rPr>
        <w:rFonts w:ascii="Arial" w:eastAsia="Times New Roman" w:hAnsi="Arial" w:cs="Arial"/>
        <w:lang w:eastAsia="fr-FR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0E0A"/>
    <w:multiLevelType w:val="hybridMultilevel"/>
    <w:tmpl w:val="69D6BEE0"/>
    <w:lvl w:ilvl="0" w:tplc="E51A98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65136"/>
    <w:multiLevelType w:val="hybridMultilevel"/>
    <w:tmpl w:val="8F08A2E2"/>
    <w:lvl w:ilvl="0" w:tplc="5BB45C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352B2"/>
    <w:multiLevelType w:val="hybridMultilevel"/>
    <w:tmpl w:val="6F8E27C4"/>
    <w:lvl w:ilvl="0" w:tplc="F168E9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91EDF"/>
    <w:multiLevelType w:val="hybridMultilevel"/>
    <w:tmpl w:val="1F94EF1A"/>
    <w:lvl w:ilvl="0" w:tplc="44002412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0E853C8E"/>
    <w:multiLevelType w:val="hybridMultilevel"/>
    <w:tmpl w:val="C7DE0544"/>
    <w:lvl w:ilvl="0" w:tplc="F168E9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A3216"/>
    <w:multiLevelType w:val="hybridMultilevel"/>
    <w:tmpl w:val="93CC9CE8"/>
    <w:lvl w:ilvl="0" w:tplc="CB0055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F21C0"/>
    <w:multiLevelType w:val="hybridMultilevel"/>
    <w:tmpl w:val="ECD2C416"/>
    <w:lvl w:ilvl="0" w:tplc="63947C1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96C63"/>
    <w:multiLevelType w:val="hybridMultilevel"/>
    <w:tmpl w:val="2BC4670C"/>
    <w:lvl w:ilvl="0" w:tplc="956AA6A8">
      <w:start w:val="1"/>
      <w:numFmt w:val="upperRoman"/>
      <w:lvlText w:val="%1."/>
      <w:lvlJc w:val="right"/>
      <w:pPr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048B1"/>
    <w:multiLevelType w:val="hybridMultilevel"/>
    <w:tmpl w:val="850ED2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64575"/>
    <w:multiLevelType w:val="hybridMultilevel"/>
    <w:tmpl w:val="EEB889AA"/>
    <w:lvl w:ilvl="0" w:tplc="AFC6E7A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C416D"/>
    <w:multiLevelType w:val="hybridMultilevel"/>
    <w:tmpl w:val="2CB8FDB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F69DE"/>
    <w:multiLevelType w:val="hybridMultilevel"/>
    <w:tmpl w:val="9086DDB6"/>
    <w:lvl w:ilvl="0" w:tplc="06BCA52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4333A"/>
    <w:multiLevelType w:val="hybridMultilevel"/>
    <w:tmpl w:val="F1086FC6"/>
    <w:lvl w:ilvl="0" w:tplc="72F6E4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14C07"/>
    <w:multiLevelType w:val="hybridMultilevel"/>
    <w:tmpl w:val="B010D8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E7DEB"/>
    <w:multiLevelType w:val="hybridMultilevel"/>
    <w:tmpl w:val="DB7A796C"/>
    <w:lvl w:ilvl="0" w:tplc="63947C1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A0307"/>
    <w:multiLevelType w:val="hybridMultilevel"/>
    <w:tmpl w:val="5A780352"/>
    <w:lvl w:ilvl="0" w:tplc="63947C1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474376"/>
    <w:multiLevelType w:val="hybridMultilevel"/>
    <w:tmpl w:val="AF7A51E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713F0"/>
    <w:multiLevelType w:val="hybridMultilevel"/>
    <w:tmpl w:val="0874CD56"/>
    <w:lvl w:ilvl="0" w:tplc="0FE6472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25666"/>
    <w:multiLevelType w:val="hybridMultilevel"/>
    <w:tmpl w:val="F5C410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0C610F"/>
    <w:multiLevelType w:val="hybridMultilevel"/>
    <w:tmpl w:val="7EA60440"/>
    <w:lvl w:ilvl="0" w:tplc="63947C1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0669E0"/>
    <w:multiLevelType w:val="hybridMultilevel"/>
    <w:tmpl w:val="C322AB92"/>
    <w:lvl w:ilvl="0" w:tplc="06BCA522">
      <w:numFmt w:val="bullet"/>
      <w:lvlText w:val="-"/>
      <w:lvlJc w:val="left"/>
      <w:pPr>
        <w:ind w:left="7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0A1456B"/>
    <w:multiLevelType w:val="hybridMultilevel"/>
    <w:tmpl w:val="9FBEAC0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944179F"/>
    <w:multiLevelType w:val="hybridMultilevel"/>
    <w:tmpl w:val="CD1667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406A37"/>
    <w:multiLevelType w:val="hybridMultilevel"/>
    <w:tmpl w:val="2188B1E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7C1091"/>
    <w:multiLevelType w:val="hybridMultilevel"/>
    <w:tmpl w:val="64BAC21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9B2016"/>
    <w:multiLevelType w:val="hybridMultilevel"/>
    <w:tmpl w:val="40B4C4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5"/>
  </w:num>
  <w:num w:numId="4">
    <w:abstractNumId w:val="7"/>
  </w:num>
  <w:num w:numId="5">
    <w:abstractNumId w:val="22"/>
  </w:num>
  <w:num w:numId="6">
    <w:abstractNumId w:val="21"/>
  </w:num>
  <w:num w:numId="7">
    <w:abstractNumId w:val="23"/>
  </w:num>
  <w:num w:numId="8">
    <w:abstractNumId w:val="24"/>
  </w:num>
  <w:num w:numId="9">
    <w:abstractNumId w:val="0"/>
  </w:num>
  <w:num w:numId="10">
    <w:abstractNumId w:val="2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3"/>
  </w:num>
  <w:num w:numId="14">
    <w:abstractNumId w:val="13"/>
  </w:num>
  <w:num w:numId="15">
    <w:abstractNumId w:val="25"/>
  </w:num>
  <w:num w:numId="16">
    <w:abstractNumId w:val="15"/>
  </w:num>
  <w:num w:numId="17">
    <w:abstractNumId w:val="6"/>
  </w:num>
  <w:num w:numId="18">
    <w:abstractNumId w:val="14"/>
  </w:num>
  <w:num w:numId="19">
    <w:abstractNumId w:val="10"/>
  </w:num>
  <w:num w:numId="20">
    <w:abstractNumId w:val="8"/>
  </w:num>
  <w:num w:numId="21">
    <w:abstractNumId w:val="18"/>
  </w:num>
  <w:num w:numId="22">
    <w:abstractNumId w:val="16"/>
  </w:num>
  <w:num w:numId="23">
    <w:abstractNumId w:val="20"/>
  </w:num>
  <w:num w:numId="24">
    <w:abstractNumId w:val="1"/>
  </w:num>
  <w:num w:numId="25">
    <w:abstractNumId w:val="9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9F7"/>
    <w:rsid w:val="0000025A"/>
    <w:rsid w:val="00001B45"/>
    <w:rsid w:val="0000265A"/>
    <w:rsid w:val="000030AB"/>
    <w:rsid w:val="0000620B"/>
    <w:rsid w:val="0000684C"/>
    <w:rsid w:val="00010236"/>
    <w:rsid w:val="00013290"/>
    <w:rsid w:val="00015A86"/>
    <w:rsid w:val="000166B2"/>
    <w:rsid w:val="000179C0"/>
    <w:rsid w:val="0002051F"/>
    <w:rsid w:val="00020CFE"/>
    <w:rsid w:val="000215DA"/>
    <w:rsid w:val="00021667"/>
    <w:rsid w:val="00027F1D"/>
    <w:rsid w:val="000336E7"/>
    <w:rsid w:val="000342A5"/>
    <w:rsid w:val="00034E56"/>
    <w:rsid w:val="0003648A"/>
    <w:rsid w:val="0003728A"/>
    <w:rsid w:val="00037EC6"/>
    <w:rsid w:val="00040E05"/>
    <w:rsid w:val="000420EB"/>
    <w:rsid w:val="00042E8B"/>
    <w:rsid w:val="00043460"/>
    <w:rsid w:val="000442FC"/>
    <w:rsid w:val="000461C4"/>
    <w:rsid w:val="0004659F"/>
    <w:rsid w:val="00046C8F"/>
    <w:rsid w:val="000473F8"/>
    <w:rsid w:val="00047471"/>
    <w:rsid w:val="000509EF"/>
    <w:rsid w:val="00051B72"/>
    <w:rsid w:val="000521C5"/>
    <w:rsid w:val="0005366F"/>
    <w:rsid w:val="00054983"/>
    <w:rsid w:val="00054DBD"/>
    <w:rsid w:val="0006117A"/>
    <w:rsid w:val="00061FE7"/>
    <w:rsid w:val="00064D54"/>
    <w:rsid w:val="00065C34"/>
    <w:rsid w:val="000661BE"/>
    <w:rsid w:val="00070166"/>
    <w:rsid w:val="00071E65"/>
    <w:rsid w:val="00072003"/>
    <w:rsid w:val="0007365E"/>
    <w:rsid w:val="000739A7"/>
    <w:rsid w:val="00077454"/>
    <w:rsid w:val="00080B83"/>
    <w:rsid w:val="00081454"/>
    <w:rsid w:val="00081EDF"/>
    <w:rsid w:val="00083424"/>
    <w:rsid w:val="00083BEF"/>
    <w:rsid w:val="00086846"/>
    <w:rsid w:val="00086F67"/>
    <w:rsid w:val="00087FF5"/>
    <w:rsid w:val="00092F2E"/>
    <w:rsid w:val="0009351D"/>
    <w:rsid w:val="00094120"/>
    <w:rsid w:val="0009442E"/>
    <w:rsid w:val="000947BE"/>
    <w:rsid w:val="00095CC0"/>
    <w:rsid w:val="00097666"/>
    <w:rsid w:val="000A005D"/>
    <w:rsid w:val="000A77E7"/>
    <w:rsid w:val="000A7B81"/>
    <w:rsid w:val="000B0353"/>
    <w:rsid w:val="000B03F3"/>
    <w:rsid w:val="000B0F1B"/>
    <w:rsid w:val="000B2362"/>
    <w:rsid w:val="000B5027"/>
    <w:rsid w:val="000B7CF6"/>
    <w:rsid w:val="000B7D88"/>
    <w:rsid w:val="000C0564"/>
    <w:rsid w:val="000C13C2"/>
    <w:rsid w:val="000C2F6A"/>
    <w:rsid w:val="000C3528"/>
    <w:rsid w:val="000C5EBE"/>
    <w:rsid w:val="000C6F15"/>
    <w:rsid w:val="000C74E4"/>
    <w:rsid w:val="000D0C00"/>
    <w:rsid w:val="000D1A7D"/>
    <w:rsid w:val="000D24AD"/>
    <w:rsid w:val="000D25C0"/>
    <w:rsid w:val="000D4810"/>
    <w:rsid w:val="000D4D9A"/>
    <w:rsid w:val="000D52DA"/>
    <w:rsid w:val="000D6A96"/>
    <w:rsid w:val="000D79F6"/>
    <w:rsid w:val="000E2871"/>
    <w:rsid w:val="000E2CE8"/>
    <w:rsid w:val="000E30D9"/>
    <w:rsid w:val="000E349C"/>
    <w:rsid w:val="000E4593"/>
    <w:rsid w:val="000E4FD0"/>
    <w:rsid w:val="000E635F"/>
    <w:rsid w:val="000F1D15"/>
    <w:rsid w:val="000F4528"/>
    <w:rsid w:val="000F4581"/>
    <w:rsid w:val="000F4DAD"/>
    <w:rsid w:val="000F528C"/>
    <w:rsid w:val="00100498"/>
    <w:rsid w:val="00102A6A"/>
    <w:rsid w:val="0010344B"/>
    <w:rsid w:val="001039EC"/>
    <w:rsid w:val="00105E13"/>
    <w:rsid w:val="0010628A"/>
    <w:rsid w:val="00106305"/>
    <w:rsid w:val="00106605"/>
    <w:rsid w:val="00110B17"/>
    <w:rsid w:val="001118A7"/>
    <w:rsid w:val="00111F86"/>
    <w:rsid w:val="00112F29"/>
    <w:rsid w:val="00113FE7"/>
    <w:rsid w:val="001148BD"/>
    <w:rsid w:val="00114DE8"/>
    <w:rsid w:val="00115017"/>
    <w:rsid w:val="00115B8A"/>
    <w:rsid w:val="001162C9"/>
    <w:rsid w:val="001179FD"/>
    <w:rsid w:val="001201CD"/>
    <w:rsid w:val="00120B12"/>
    <w:rsid w:val="00120CE5"/>
    <w:rsid w:val="00121B59"/>
    <w:rsid w:val="00122732"/>
    <w:rsid w:val="001227C4"/>
    <w:rsid w:val="001238D7"/>
    <w:rsid w:val="001246E8"/>
    <w:rsid w:val="00125A31"/>
    <w:rsid w:val="00130F78"/>
    <w:rsid w:val="00130F9F"/>
    <w:rsid w:val="00131C57"/>
    <w:rsid w:val="00131DF3"/>
    <w:rsid w:val="0013358C"/>
    <w:rsid w:val="001339F0"/>
    <w:rsid w:val="00134A43"/>
    <w:rsid w:val="00134B0B"/>
    <w:rsid w:val="001356AB"/>
    <w:rsid w:val="0013574C"/>
    <w:rsid w:val="00136E8F"/>
    <w:rsid w:val="0013777C"/>
    <w:rsid w:val="00143034"/>
    <w:rsid w:val="00143320"/>
    <w:rsid w:val="00144296"/>
    <w:rsid w:val="001448A7"/>
    <w:rsid w:val="00145050"/>
    <w:rsid w:val="00145161"/>
    <w:rsid w:val="00146014"/>
    <w:rsid w:val="0014645F"/>
    <w:rsid w:val="001508B1"/>
    <w:rsid w:val="00150C88"/>
    <w:rsid w:val="0015211D"/>
    <w:rsid w:val="0015271B"/>
    <w:rsid w:val="00152807"/>
    <w:rsid w:val="00152F1E"/>
    <w:rsid w:val="00152F2E"/>
    <w:rsid w:val="00154CE6"/>
    <w:rsid w:val="0015730A"/>
    <w:rsid w:val="00162878"/>
    <w:rsid w:val="00162F82"/>
    <w:rsid w:val="001653EF"/>
    <w:rsid w:val="00165D79"/>
    <w:rsid w:val="001673EA"/>
    <w:rsid w:val="00171317"/>
    <w:rsid w:val="0017210A"/>
    <w:rsid w:val="001733F5"/>
    <w:rsid w:val="00173E24"/>
    <w:rsid w:val="0018024D"/>
    <w:rsid w:val="0018168C"/>
    <w:rsid w:val="0018289F"/>
    <w:rsid w:val="00183E13"/>
    <w:rsid w:val="00185847"/>
    <w:rsid w:val="00187308"/>
    <w:rsid w:val="00187471"/>
    <w:rsid w:val="00192720"/>
    <w:rsid w:val="00193327"/>
    <w:rsid w:val="001954DA"/>
    <w:rsid w:val="00197D97"/>
    <w:rsid w:val="001A0257"/>
    <w:rsid w:val="001A2F61"/>
    <w:rsid w:val="001A5721"/>
    <w:rsid w:val="001A60F3"/>
    <w:rsid w:val="001A689F"/>
    <w:rsid w:val="001A7EFD"/>
    <w:rsid w:val="001B0D7E"/>
    <w:rsid w:val="001B0F55"/>
    <w:rsid w:val="001B1863"/>
    <w:rsid w:val="001B2E5A"/>
    <w:rsid w:val="001B2F11"/>
    <w:rsid w:val="001B3CD1"/>
    <w:rsid w:val="001B524D"/>
    <w:rsid w:val="001B682F"/>
    <w:rsid w:val="001C1129"/>
    <w:rsid w:val="001C24B9"/>
    <w:rsid w:val="001C2CDB"/>
    <w:rsid w:val="001C343E"/>
    <w:rsid w:val="001C3DE0"/>
    <w:rsid w:val="001C3E50"/>
    <w:rsid w:val="001C40CE"/>
    <w:rsid w:val="001C53AD"/>
    <w:rsid w:val="001C555B"/>
    <w:rsid w:val="001C5E64"/>
    <w:rsid w:val="001D0520"/>
    <w:rsid w:val="001D05AD"/>
    <w:rsid w:val="001D1D76"/>
    <w:rsid w:val="001D2A8D"/>
    <w:rsid w:val="001D3F6A"/>
    <w:rsid w:val="001D577A"/>
    <w:rsid w:val="001D5B63"/>
    <w:rsid w:val="001D66F5"/>
    <w:rsid w:val="001D6A81"/>
    <w:rsid w:val="001D7B74"/>
    <w:rsid w:val="001E2F7B"/>
    <w:rsid w:val="001E4D03"/>
    <w:rsid w:val="001E73F9"/>
    <w:rsid w:val="001E7838"/>
    <w:rsid w:val="001E7B5B"/>
    <w:rsid w:val="001F2198"/>
    <w:rsid w:val="001F21DD"/>
    <w:rsid w:val="001F2B71"/>
    <w:rsid w:val="001F3635"/>
    <w:rsid w:val="001F4F24"/>
    <w:rsid w:val="001F5DD8"/>
    <w:rsid w:val="001F7813"/>
    <w:rsid w:val="001F7FC4"/>
    <w:rsid w:val="0020124C"/>
    <w:rsid w:val="00203089"/>
    <w:rsid w:val="0020501F"/>
    <w:rsid w:val="0020785E"/>
    <w:rsid w:val="00211CD4"/>
    <w:rsid w:val="00213C65"/>
    <w:rsid w:val="00216CFD"/>
    <w:rsid w:val="00220E23"/>
    <w:rsid w:val="0022163A"/>
    <w:rsid w:val="00223712"/>
    <w:rsid w:val="00223D65"/>
    <w:rsid w:val="002253AA"/>
    <w:rsid w:val="00225A77"/>
    <w:rsid w:val="002273E6"/>
    <w:rsid w:val="00227AEB"/>
    <w:rsid w:val="00230E95"/>
    <w:rsid w:val="00231507"/>
    <w:rsid w:val="00231D09"/>
    <w:rsid w:val="002337A5"/>
    <w:rsid w:val="00235329"/>
    <w:rsid w:val="00237096"/>
    <w:rsid w:val="002370B5"/>
    <w:rsid w:val="0024199C"/>
    <w:rsid w:val="002429F2"/>
    <w:rsid w:val="002449F0"/>
    <w:rsid w:val="00247E26"/>
    <w:rsid w:val="00253150"/>
    <w:rsid w:val="00254C4A"/>
    <w:rsid w:val="002551CE"/>
    <w:rsid w:val="0026141E"/>
    <w:rsid w:val="00262224"/>
    <w:rsid w:val="00264407"/>
    <w:rsid w:val="00265738"/>
    <w:rsid w:val="00267A3C"/>
    <w:rsid w:val="00271280"/>
    <w:rsid w:val="00271CC9"/>
    <w:rsid w:val="00272073"/>
    <w:rsid w:val="002723AE"/>
    <w:rsid w:val="00272773"/>
    <w:rsid w:val="00274AC9"/>
    <w:rsid w:val="00275840"/>
    <w:rsid w:val="00275988"/>
    <w:rsid w:val="00277980"/>
    <w:rsid w:val="00277D03"/>
    <w:rsid w:val="0028078B"/>
    <w:rsid w:val="00281625"/>
    <w:rsid w:val="00282540"/>
    <w:rsid w:val="00283D00"/>
    <w:rsid w:val="00283E2C"/>
    <w:rsid w:val="00284385"/>
    <w:rsid w:val="00290891"/>
    <w:rsid w:val="002913DC"/>
    <w:rsid w:val="00293B5F"/>
    <w:rsid w:val="002954CC"/>
    <w:rsid w:val="00297E9B"/>
    <w:rsid w:val="002A066E"/>
    <w:rsid w:val="002A1092"/>
    <w:rsid w:val="002A2697"/>
    <w:rsid w:val="002A4305"/>
    <w:rsid w:val="002A46EF"/>
    <w:rsid w:val="002A521A"/>
    <w:rsid w:val="002A5BDE"/>
    <w:rsid w:val="002A7676"/>
    <w:rsid w:val="002A7AEC"/>
    <w:rsid w:val="002B041D"/>
    <w:rsid w:val="002B30B6"/>
    <w:rsid w:val="002B342B"/>
    <w:rsid w:val="002B4937"/>
    <w:rsid w:val="002B4C1D"/>
    <w:rsid w:val="002B5C57"/>
    <w:rsid w:val="002B7686"/>
    <w:rsid w:val="002C1C81"/>
    <w:rsid w:val="002C56B7"/>
    <w:rsid w:val="002D35B3"/>
    <w:rsid w:val="002D599A"/>
    <w:rsid w:val="002D5AA7"/>
    <w:rsid w:val="002D5CE6"/>
    <w:rsid w:val="002D6B9B"/>
    <w:rsid w:val="002D7455"/>
    <w:rsid w:val="002D7AB9"/>
    <w:rsid w:val="002E069A"/>
    <w:rsid w:val="002E06B0"/>
    <w:rsid w:val="002E1882"/>
    <w:rsid w:val="002E6918"/>
    <w:rsid w:val="002E6B16"/>
    <w:rsid w:val="002E6F3F"/>
    <w:rsid w:val="002E787D"/>
    <w:rsid w:val="002F19C4"/>
    <w:rsid w:val="002F1B1C"/>
    <w:rsid w:val="002F28D1"/>
    <w:rsid w:val="002F294E"/>
    <w:rsid w:val="002F39D5"/>
    <w:rsid w:val="002F5A25"/>
    <w:rsid w:val="002F7A20"/>
    <w:rsid w:val="00300F75"/>
    <w:rsid w:val="003015E6"/>
    <w:rsid w:val="00303AA6"/>
    <w:rsid w:val="00305324"/>
    <w:rsid w:val="003053D9"/>
    <w:rsid w:val="00307E55"/>
    <w:rsid w:val="00320298"/>
    <w:rsid w:val="003202D3"/>
    <w:rsid w:val="00322236"/>
    <w:rsid w:val="003223A7"/>
    <w:rsid w:val="00323FC6"/>
    <w:rsid w:val="00324E87"/>
    <w:rsid w:val="00326B5F"/>
    <w:rsid w:val="003277F6"/>
    <w:rsid w:val="00330C2D"/>
    <w:rsid w:val="003400E5"/>
    <w:rsid w:val="003418B1"/>
    <w:rsid w:val="00342554"/>
    <w:rsid w:val="003429F3"/>
    <w:rsid w:val="00345279"/>
    <w:rsid w:val="0034731D"/>
    <w:rsid w:val="003531B5"/>
    <w:rsid w:val="0035437C"/>
    <w:rsid w:val="0035661A"/>
    <w:rsid w:val="0035669D"/>
    <w:rsid w:val="00360649"/>
    <w:rsid w:val="003639A3"/>
    <w:rsid w:val="003676CE"/>
    <w:rsid w:val="00370B40"/>
    <w:rsid w:val="00371FC2"/>
    <w:rsid w:val="00373011"/>
    <w:rsid w:val="003755F2"/>
    <w:rsid w:val="00376750"/>
    <w:rsid w:val="00376975"/>
    <w:rsid w:val="00377B33"/>
    <w:rsid w:val="00381E47"/>
    <w:rsid w:val="00385184"/>
    <w:rsid w:val="00385EBD"/>
    <w:rsid w:val="00386C5A"/>
    <w:rsid w:val="00386F34"/>
    <w:rsid w:val="00392771"/>
    <w:rsid w:val="0039340D"/>
    <w:rsid w:val="00394048"/>
    <w:rsid w:val="0039445E"/>
    <w:rsid w:val="00396809"/>
    <w:rsid w:val="00396DB0"/>
    <w:rsid w:val="00396EC6"/>
    <w:rsid w:val="00397E56"/>
    <w:rsid w:val="003A0A47"/>
    <w:rsid w:val="003A3C79"/>
    <w:rsid w:val="003A3CED"/>
    <w:rsid w:val="003A45B6"/>
    <w:rsid w:val="003A6A03"/>
    <w:rsid w:val="003B0100"/>
    <w:rsid w:val="003B01EF"/>
    <w:rsid w:val="003B18CD"/>
    <w:rsid w:val="003B2A33"/>
    <w:rsid w:val="003C0C44"/>
    <w:rsid w:val="003C3F51"/>
    <w:rsid w:val="003C40E3"/>
    <w:rsid w:val="003C4967"/>
    <w:rsid w:val="003C4E06"/>
    <w:rsid w:val="003C53A3"/>
    <w:rsid w:val="003C6557"/>
    <w:rsid w:val="003C779C"/>
    <w:rsid w:val="003D091F"/>
    <w:rsid w:val="003D4EA3"/>
    <w:rsid w:val="003D5BCD"/>
    <w:rsid w:val="003E174A"/>
    <w:rsid w:val="003E1FC5"/>
    <w:rsid w:val="003E2628"/>
    <w:rsid w:val="003E2CF2"/>
    <w:rsid w:val="003E3626"/>
    <w:rsid w:val="003E3D6E"/>
    <w:rsid w:val="003E465F"/>
    <w:rsid w:val="003E47E1"/>
    <w:rsid w:val="003E6D7E"/>
    <w:rsid w:val="003F1F8A"/>
    <w:rsid w:val="003F4248"/>
    <w:rsid w:val="003F622E"/>
    <w:rsid w:val="00400EB1"/>
    <w:rsid w:val="0040234A"/>
    <w:rsid w:val="00402C2A"/>
    <w:rsid w:val="00404D23"/>
    <w:rsid w:val="00406A76"/>
    <w:rsid w:val="00407370"/>
    <w:rsid w:val="00414F22"/>
    <w:rsid w:val="00415A00"/>
    <w:rsid w:val="00416EBF"/>
    <w:rsid w:val="00417AB2"/>
    <w:rsid w:val="004234AE"/>
    <w:rsid w:val="00423B25"/>
    <w:rsid w:val="00423CCE"/>
    <w:rsid w:val="00423D2D"/>
    <w:rsid w:val="00426793"/>
    <w:rsid w:val="00426B2C"/>
    <w:rsid w:val="0043006F"/>
    <w:rsid w:val="004308C8"/>
    <w:rsid w:val="004315D8"/>
    <w:rsid w:val="004317A7"/>
    <w:rsid w:val="004321AF"/>
    <w:rsid w:val="0043419F"/>
    <w:rsid w:val="00434D7C"/>
    <w:rsid w:val="0043545C"/>
    <w:rsid w:val="00436651"/>
    <w:rsid w:val="00437C74"/>
    <w:rsid w:val="0044072B"/>
    <w:rsid w:val="00440E30"/>
    <w:rsid w:val="0044180E"/>
    <w:rsid w:val="00444904"/>
    <w:rsid w:val="00445A1D"/>
    <w:rsid w:val="00446AC8"/>
    <w:rsid w:val="004529A9"/>
    <w:rsid w:val="00453032"/>
    <w:rsid w:val="004559A9"/>
    <w:rsid w:val="00455F76"/>
    <w:rsid w:val="00456607"/>
    <w:rsid w:val="00456D1B"/>
    <w:rsid w:val="00457DD2"/>
    <w:rsid w:val="004612FB"/>
    <w:rsid w:val="00461CED"/>
    <w:rsid w:val="004624B3"/>
    <w:rsid w:val="00465EC0"/>
    <w:rsid w:val="00465ED5"/>
    <w:rsid w:val="0046650A"/>
    <w:rsid w:val="004671F4"/>
    <w:rsid w:val="00467A48"/>
    <w:rsid w:val="00467C3D"/>
    <w:rsid w:val="00470C50"/>
    <w:rsid w:val="0047401B"/>
    <w:rsid w:val="004740C9"/>
    <w:rsid w:val="00474534"/>
    <w:rsid w:val="004748D4"/>
    <w:rsid w:val="00476A56"/>
    <w:rsid w:val="00477373"/>
    <w:rsid w:val="004779A4"/>
    <w:rsid w:val="004800BC"/>
    <w:rsid w:val="00480312"/>
    <w:rsid w:val="00481380"/>
    <w:rsid w:val="0048306F"/>
    <w:rsid w:val="00483F15"/>
    <w:rsid w:val="004867EF"/>
    <w:rsid w:val="00486FF5"/>
    <w:rsid w:val="004902EF"/>
    <w:rsid w:val="00491E9E"/>
    <w:rsid w:val="0049248B"/>
    <w:rsid w:val="00492737"/>
    <w:rsid w:val="00492795"/>
    <w:rsid w:val="00492F0C"/>
    <w:rsid w:val="004936AC"/>
    <w:rsid w:val="00496DF5"/>
    <w:rsid w:val="00497E97"/>
    <w:rsid w:val="004A030A"/>
    <w:rsid w:val="004A0821"/>
    <w:rsid w:val="004A2897"/>
    <w:rsid w:val="004A2DAF"/>
    <w:rsid w:val="004A3100"/>
    <w:rsid w:val="004A5D9C"/>
    <w:rsid w:val="004A7258"/>
    <w:rsid w:val="004A7830"/>
    <w:rsid w:val="004A79E6"/>
    <w:rsid w:val="004B00F4"/>
    <w:rsid w:val="004B08BA"/>
    <w:rsid w:val="004B239E"/>
    <w:rsid w:val="004B437F"/>
    <w:rsid w:val="004B6677"/>
    <w:rsid w:val="004B6C83"/>
    <w:rsid w:val="004B737B"/>
    <w:rsid w:val="004C3BF8"/>
    <w:rsid w:val="004C4B7F"/>
    <w:rsid w:val="004C5635"/>
    <w:rsid w:val="004C5F73"/>
    <w:rsid w:val="004C6708"/>
    <w:rsid w:val="004C7F84"/>
    <w:rsid w:val="004D0133"/>
    <w:rsid w:val="004D06E5"/>
    <w:rsid w:val="004D115C"/>
    <w:rsid w:val="004D1599"/>
    <w:rsid w:val="004D2AB4"/>
    <w:rsid w:val="004D30D4"/>
    <w:rsid w:val="004D372D"/>
    <w:rsid w:val="004D4CD0"/>
    <w:rsid w:val="004D5B68"/>
    <w:rsid w:val="004D6123"/>
    <w:rsid w:val="004D71C4"/>
    <w:rsid w:val="004E0B02"/>
    <w:rsid w:val="004E6EE0"/>
    <w:rsid w:val="004E76C6"/>
    <w:rsid w:val="004F02B3"/>
    <w:rsid w:val="004F43E7"/>
    <w:rsid w:val="005018D7"/>
    <w:rsid w:val="0050291D"/>
    <w:rsid w:val="00503FB0"/>
    <w:rsid w:val="00511AF5"/>
    <w:rsid w:val="00512079"/>
    <w:rsid w:val="005129B6"/>
    <w:rsid w:val="00513B11"/>
    <w:rsid w:val="00515439"/>
    <w:rsid w:val="00517A60"/>
    <w:rsid w:val="00522940"/>
    <w:rsid w:val="00523485"/>
    <w:rsid w:val="00526F48"/>
    <w:rsid w:val="005272B0"/>
    <w:rsid w:val="005279BB"/>
    <w:rsid w:val="00530913"/>
    <w:rsid w:val="00531E91"/>
    <w:rsid w:val="00532924"/>
    <w:rsid w:val="00533BF8"/>
    <w:rsid w:val="00536C1F"/>
    <w:rsid w:val="00542127"/>
    <w:rsid w:val="00550034"/>
    <w:rsid w:val="00550240"/>
    <w:rsid w:val="0055097A"/>
    <w:rsid w:val="005516B2"/>
    <w:rsid w:val="005536BF"/>
    <w:rsid w:val="005536CE"/>
    <w:rsid w:val="00554686"/>
    <w:rsid w:val="00555571"/>
    <w:rsid w:val="00557127"/>
    <w:rsid w:val="00560DF9"/>
    <w:rsid w:val="00561569"/>
    <w:rsid w:val="005624C4"/>
    <w:rsid w:val="0056394D"/>
    <w:rsid w:val="005660BF"/>
    <w:rsid w:val="00566355"/>
    <w:rsid w:val="005668EC"/>
    <w:rsid w:val="0057173D"/>
    <w:rsid w:val="00572BF9"/>
    <w:rsid w:val="0057376A"/>
    <w:rsid w:val="005778DF"/>
    <w:rsid w:val="00580E07"/>
    <w:rsid w:val="005815AE"/>
    <w:rsid w:val="005820D8"/>
    <w:rsid w:val="0058305A"/>
    <w:rsid w:val="00583810"/>
    <w:rsid w:val="00584561"/>
    <w:rsid w:val="005857BA"/>
    <w:rsid w:val="005859FF"/>
    <w:rsid w:val="005862EF"/>
    <w:rsid w:val="00586BA6"/>
    <w:rsid w:val="0058793C"/>
    <w:rsid w:val="00587AE1"/>
    <w:rsid w:val="0059005C"/>
    <w:rsid w:val="00590287"/>
    <w:rsid w:val="005946E5"/>
    <w:rsid w:val="00594D99"/>
    <w:rsid w:val="00595D2A"/>
    <w:rsid w:val="00596E2F"/>
    <w:rsid w:val="005A1680"/>
    <w:rsid w:val="005A182E"/>
    <w:rsid w:val="005A1BBF"/>
    <w:rsid w:val="005A20DE"/>
    <w:rsid w:val="005A22F9"/>
    <w:rsid w:val="005A36B9"/>
    <w:rsid w:val="005A4E86"/>
    <w:rsid w:val="005A6BB6"/>
    <w:rsid w:val="005B30DA"/>
    <w:rsid w:val="005B3619"/>
    <w:rsid w:val="005B36A8"/>
    <w:rsid w:val="005B62F7"/>
    <w:rsid w:val="005B7159"/>
    <w:rsid w:val="005B7407"/>
    <w:rsid w:val="005B74BF"/>
    <w:rsid w:val="005B7DBF"/>
    <w:rsid w:val="005C0854"/>
    <w:rsid w:val="005C55E7"/>
    <w:rsid w:val="005C571F"/>
    <w:rsid w:val="005C7D31"/>
    <w:rsid w:val="005D3ED5"/>
    <w:rsid w:val="005D422F"/>
    <w:rsid w:val="005D43C6"/>
    <w:rsid w:val="005D45D2"/>
    <w:rsid w:val="005D488A"/>
    <w:rsid w:val="005D49B2"/>
    <w:rsid w:val="005D621F"/>
    <w:rsid w:val="005E006D"/>
    <w:rsid w:val="005E07B3"/>
    <w:rsid w:val="005E2D8D"/>
    <w:rsid w:val="005E3BAF"/>
    <w:rsid w:val="005E455F"/>
    <w:rsid w:val="005E4E2F"/>
    <w:rsid w:val="005E6409"/>
    <w:rsid w:val="005E6AE7"/>
    <w:rsid w:val="005E6C7C"/>
    <w:rsid w:val="005E6E2F"/>
    <w:rsid w:val="005E7754"/>
    <w:rsid w:val="005F08DC"/>
    <w:rsid w:val="005F0F06"/>
    <w:rsid w:val="005F0FF7"/>
    <w:rsid w:val="005F11B2"/>
    <w:rsid w:val="005F1300"/>
    <w:rsid w:val="005F485B"/>
    <w:rsid w:val="005F670C"/>
    <w:rsid w:val="005F6B1D"/>
    <w:rsid w:val="005F72FA"/>
    <w:rsid w:val="006007B3"/>
    <w:rsid w:val="006009A9"/>
    <w:rsid w:val="00601B4F"/>
    <w:rsid w:val="00601F67"/>
    <w:rsid w:val="00602317"/>
    <w:rsid w:val="0060320D"/>
    <w:rsid w:val="00604B52"/>
    <w:rsid w:val="00605998"/>
    <w:rsid w:val="00606D37"/>
    <w:rsid w:val="0061048F"/>
    <w:rsid w:val="00611456"/>
    <w:rsid w:val="00611855"/>
    <w:rsid w:val="006136E9"/>
    <w:rsid w:val="00613887"/>
    <w:rsid w:val="00614B21"/>
    <w:rsid w:val="00614C36"/>
    <w:rsid w:val="00615B78"/>
    <w:rsid w:val="00615E26"/>
    <w:rsid w:val="006162B7"/>
    <w:rsid w:val="0061778B"/>
    <w:rsid w:val="0062014C"/>
    <w:rsid w:val="00621832"/>
    <w:rsid w:val="00623A2D"/>
    <w:rsid w:val="00624999"/>
    <w:rsid w:val="006271DC"/>
    <w:rsid w:val="0063190A"/>
    <w:rsid w:val="00633A4D"/>
    <w:rsid w:val="00641D09"/>
    <w:rsid w:val="00641D71"/>
    <w:rsid w:val="00642F24"/>
    <w:rsid w:val="00643F0F"/>
    <w:rsid w:val="0064786E"/>
    <w:rsid w:val="00647A6C"/>
    <w:rsid w:val="006505EA"/>
    <w:rsid w:val="00650CF7"/>
    <w:rsid w:val="00651D68"/>
    <w:rsid w:val="00651FFB"/>
    <w:rsid w:val="00652280"/>
    <w:rsid w:val="006523DA"/>
    <w:rsid w:val="00652AA8"/>
    <w:rsid w:val="00655215"/>
    <w:rsid w:val="00655799"/>
    <w:rsid w:val="00655D67"/>
    <w:rsid w:val="006562E1"/>
    <w:rsid w:val="00656AE0"/>
    <w:rsid w:val="006570A3"/>
    <w:rsid w:val="006577BD"/>
    <w:rsid w:val="00660874"/>
    <w:rsid w:val="006613F4"/>
    <w:rsid w:val="006657B4"/>
    <w:rsid w:val="00666706"/>
    <w:rsid w:val="00666E11"/>
    <w:rsid w:val="00667FA4"/>
    <w:rsid w:val="00672632"/>
    <w:rsid w:val="00672B10"/>
    <w:rsid w:val="00675896"/>
    <w:rsid w:val="00676541"/>
    <w:rsid w:val="00677532"/>
    <w:rsid w:val="00680C83"/>
    <w:rsid w:val="006833B5"/>
    <w:rsid w:val="00683EF9"/>
    <w:rsid w:val="00683FB3"/>
    <w:rsid w:val="0068556B"/>
    <w:rsid w:val="006865B2"/>
    <w:rsid w:val="006868BD"/>
    <w:rsid w:val="00687351"/>
    <w:rsid w:val="00687CB8"/>
    <w:rsid w:val="006911AF"/>
    <w:rsid w:val="00691E61"/>
    <w:rsid w:val="00694E29"/>
    <w:rsid w:val="00696AC5"/>
    <w:rsid w:val="006A0F0D"/>
    <w:rsid w:val="006A0FB1"/>
    <w:rsid w:val="006A1A3C"/>
    <w:rsid w:val="006A1AD8"/>
    <w:rsid w:val="006A1B98"/>
    <w:rsid w:val="006A1EE2"/>
    <w:rsid w:val="006A28ED"/>
    <w:rsid w:val="006A351F"/>
    <w:rsid w:val="006A3A1C"/>
    <w:rsid w:val="006A3D10"/>
    <w:rsid w:val="006A48B3"/>
    <w:rsid w:val="006A4B68"/>
    <w:rsid w:val="006A53D0"/>
    <w:rsid w:val="006A5754"/>
    <w:rsid w:val="006A61FD"/>
    <w:rsid w:val="006A64D8"/>
    <w:rsid w:val="006A6FEC"/>
    <w:rsid w:val="006A7F8B"/>
    <w:rsid w:val="006B0E4C"/>
    <w:rsid w:val="006B3160"/>
    <w:rsid w:val="006B33CC"/>
    <w:rsid w:val="006B348A"/>
    <w:rsid w:val="006B3EE7"/>
    <w:rsid w:val="006B3F8C"/>
    <w:rsid w:val="006B4074"/>
    <w:rsid w:val="006B7DA4"/>
    <w:rsid w:val="006C0666"/>
    <w:rsid w:val="006C1FBA"/>
    <w:rsid w:val="006C3B90"/>
    <w:rsid w:val="006C71A6"/>
    <w:rsid w:val="006D1D55"/>
    <w:rsid w:val="006D32B2"/>
    <w:rsid w:val="006D3A60"/>
    <w:rsid w:val="006D4118"/>
    <w:rsid w:val="006D53A3"/>
    <w:rsid w:val="006E0E83"/>
    <w:rsid w:val="006E2FF2"/>
    <w:rsid w:val="006E477F"/>
    <w:rsid w:val="006E5445"/>
    <w:rsid w:val="006E544E"/>
    <w:rsid w:val="006E579A"/>
    <w:rsid w:val="006E6A06"/>
    <w:rsid w:val="006E74CB"/>
    <w:rsid w:val="006E7E27"/>
    <w:rsid w:val="006F1960"/>
    <w:rsid w:val="006F1DB4"/>
    <w:rsid w:val="006F1E78"/>
    <w:rsid w:val="006F3201"/>
    <w:rsid w:val="006F45DB"/>
    <w:rsid w:val="006F46B7"/>
    <w:rsid w:val="006F4A05"/>
    <w:rsid w:val="006F545C"/>
    <w:rsid w:val="006F76B2"/>
    <w:rsid w:val="0070036B"/>
    <w:rsid w:val="007010FE"/>
    <w:rsid w:val="007011A1"/>
    <w:rsid w:val="00701B5D"/>
    <w:rsid w:val="0070274D"/>
    <w:rsid w:val="00702E11"/>
    <w:rsid w:val="00710767"/>
    <w:rsid w:val="00712A35"/>
    <w:rsid w:val="007132F7"/>
    <w:rsid w:val="007136D3"/>
    <w:rsid w:val="00716A9E"/>
    <w:rsid w:val="00720524"/>
    <w:rsid w:val="00720A1B"/>
    <w:rsid w:val="00722DCB"/>
    <w:rsid w:val="00723952"/>
    <w:rsid w:val="0072435F"/>
    <w:rsid w:val="00730486"/>
    <w:rsid w:val="00730983"/>
    <w:rsid w:val="00731C15"/>
    <w:rsid w:val="007323D6"/>
    <w:rsid w:val="007350CD"/>
    <w:rsid w:val="007353D5"/>
    <w:rsid w:val="00735B9F"/>
    <w:rsid w:val="00735F17"/>
    <w:rsid w:val="00737214"/>
    <w:rsid w:val="0073752E"/>
    <w:rsid w:val="007378DD"/>
    <w:rsid w:val="0074059A"/>
    <w:rsid w:val="0074102C"/>
    <w:rsid w:val="00743408"/>
    <w:rsid w:val="007436BD"/>
    <w:rsid w:val="00744264"/>
    <w:rsid w:val="00745913"/>
    <w:rsid w:val="00745C6B"/>
    <w:rsid w:val="00750C8A"/>
    <w:rsid w:val="00751128"/>
    <w:rsid w:val="00751BDC"/>
    <w:rsid w:val="0075466F"/>
    <w:rsid w:val="00755953"/>
    <w:rsid w:val="00757165"/>
    <w:rsid w:val="00760AFA"/>
    <w:rsid w:val="007628FD"/>
    <w:rsid w:val="00763008"/>
    <w:rsid w:val="007641B3"/>
    <w:rsid w:val="007658A6"/>
    <w:rsid w:val="00767B7C"/>
    <w:rsid w:val="00767DF9"/>
    <w:rsid w:val="00771D10"/>
    <w:rsid w:val="00773BEB"/>
    <w:rsid w:val="00774B31"/>
    <w:rsid w:val="0077682B"/>
    <w:rsid w:val="0077687F"/>
    <w:rsid w:val="00780915"/>
    <w:rsid w:val="00781472"/>
    <w:rsid w:val="00783D45"/>
    <w:rsid w:val="00785023"/>
    <w:rsid w:val="00787122"/>
    <w:rsid w:val="00790EA5"/>
    <w:rsid w:val="007910D9"/>
    <w:rsid w:val="00791E9C"/>
    <w:rsid w:val="00795D27"/>
    <w:rsid w:val="007964C5"/>
    <w:rsid w:val="007972D6"/>
    <w:rsid w:val="0079736B"/>
    <w:rsid w:val="00797BC6"/>
    <w:rsid w:val="007A0F48"/>
    <w:rsid w:val="007A1A0E"/>
    <w:rsid w:val="007A62CF"/>
    <w:rsid w:val="007B00DB"/>
    <w:rsid w:val="007B2488"/>
    <w:rsid w:val="007B3AD3"/>
    <w:rsid w:val="007B4935"/>
    <w:rsid w:val="007B551E"/>
    <w:rsid w:val="007B6B64"/>
    <w:rsid w:val="007C2141"/>
    <w:rsid w:val="007C3C32"/>
    <w:rsid w:val="007C3C5A"/>
    <w:rsid w:val="007C4EB5"/>
    <w:rsid w:val="007D0784"/>
    <w:rsid w:val="007D2A10"/>
    <w:rsid w:val="007D2B39"/>
    <w:rsid w:val="007D326A"/>
    <w:rsid w:val="007D414C"/>
    <w:rsid w:val="007D4946"/>
    <w:rsid w:val="007D7109"/>
    <w:rsid w:val="007E2226"/>
    <w:rsid w:val="007E24A5"/>
    <w:rsid w:val="007E26F4"/>
    <w:rsid w:val="007E2A47"/>
    <w:rsid w:val="007E2B65"/>
    <w:rsid w:val="007E320D"/>
    <w:rsid w:val="007E3236"/>
    <w:rsid w:val="007E6EDD"/>
    <w:rsid w:val="007E7E9B"/>
    <w:rsid w:val="007F0E36"/>
    <w:rsid w:val="007F248B"/>
    <w:rsid w:val="007F5897"/>
    <w:rsid w:val="007F62D2"/>
    <w:rsid w:val="007F793B"/>
    <w:rsid w:val="0080518B"/>
    <w:rsid w:val="008053F7"/>
    <w:rsid w:val="00805708"/>
    <w:rsid w:val="00810C14"/>
    <w:rsid w:val="00812235"/>
    <w:rsid w:val="00817A2E"/>
    <w:rsid w:val="00820528"/>
    <w:rsid w:val="00820E95"/>
    <w:rsid w:val="008210C0"/>
    <w:rsid w:val="0082311B"/>
    <w:rsid w:val="00823447"/>
    <w:rsid w:val="008252F5"/>
    <w:rsid w:val="00825E0A"/>
    <w:rsid w:val="00826113"/>
    <w:rsid w:val="00827D58"/>
    <w:rsid w:val="00827E9A"/>
    <w:rsid w:val="00831674"/>
    <w:rsid w:val="00832FAD"/>
    <w:rsid w:val="008335B3"/>
    <w:rsid w:val="008337AE"/>
    <w:rsid w:val="0083663E"/>
    <w:rsid w:val="00844845"/>
    <w:rsid w:val="00845014"/>
    <w:rsid w:val="00846A32"/>
    <w:rsid w:val="00851063"/>
    <w:rsid w:val="008519F7"/>
    <w:rsid w:val="00851B15"/>
    <w:rsid w:val="008546EB"/>
    <w:rsid w:val="00854A13"/>
    <w:rsid w:val="00856316"/>
    <w:rsid w:val="0085659E"/>
    <w:rsid w:val="008567B4"/>
    <w:rsid w:val="008568A0"/>
    <w:rsid w:val="008633C4"/>
    <w:rsid w:val="00865ABE"/>
    <w:rsid w:val="008665E1"/>
    <w:rsid w:val="00866DEF"/>
    <w:rsid w:val="00872338"/>
    <w:rsid w:val="00873E24"/>
    <w:rsid w:val="00875CD1"/>
    <w:rsid w:val="00882E79"/>
    <w:rsid w:val="00882F4D"/>
    <w:rsid w:val="00883B32"/>
    <w:rsid w:val="0088454C"/>
    <w:rsid w:val="008859ED"/>
    <w:rsid w:val="008951B1"/>
    <w:rsid w:val="00896968"/>
    <w:rsid w:val="00897305"/>
    <w:rsid w:val="00897D59"/>
    <w:rsid w:val="008A0054"/>
    <w:rsid w:val="008A05D4"/>
    <w:rsid w:val="008A1DF5"/>
    <w:rsid w:val="008A39C0"/>
    <w:rsid w:val="008A4074"/>
    <w:rsid w:val="008A4FAE"/>
    <w:rsid w:val="008A5193"/>
    <w:rsid w:val="008A5C17"/>
    <w:rsid w:val="008A620E"/>
    <w:rsid w:val="008A6DD0"/>
    <w:rsid w:val="008A79AD"/>
    <w:rsid w:val="008B008F"/>
    <w:rsid w:val="008B301D"/>
    <w:rsid w:val="008B40DB"/>
    <w:rsid w:val="008B65D6"/>
    <w:rsid w:val="008B768E"/>
    <w:rsid w:val="008C3195"/>
    <w:rsid w:val="008C640C"/>
    <w:rsid w:val="008D19F7"/>
    <w:rsid w:val="008D1C96"/>
    <w:rsid w:val="008D54AE"/>
    <w:rsid w:val="008D6D07"/>
    <w:rsid w:val="008D7DD8"/>
    <w:rsid w:val="008E095A"/>
    <w:rsid w:val="008E0E3C"/>
    <w:rsid w:val="008E13CD"/>
    <w:rsid w:val="008E16DA"/>
    <w:rsid w:val="008E18B9"/>
    <w:rsid w:val="008E28C5"/>
    <w:rsid w:val="008E28EC"/>
    <w:rsid w:val="008E590B"/>
    <w:rsid w:val="008F0480"/>
    <w:rsid w:val="008F0BEF"/>
    <w:rsid w:val="008F1B13"/>
    <w:rsid w:val="008F20B0"/>
    <w:rsid w:val="008F24BC"/>
    <w:rsid w:val="008F2B89"/>
    <w:rsid w:val="008F2BF9"/>
    <w:rsid w:val="008F50EC"/>
    <w:rsid w:val="008F785D"/>
    <w:rsid w:val="00902282"/>
    <w:rsid w:val="00902D24"/>
    <w:rsid w:val="009030E1"/>
    <w:rsid w:val="00904BCD"/>
    <w:rsid w:val="00905833"/>
    <w:rsid w:val="00906F0F"/>
    <w:rsid w:val="009076F5"/>
    <w:rsid w:val="009104C7"/>
    <w:rsid w:val="00910D68"/>
    <w:rsid w:val="00910E9E"/>
    <w:rsid w:val="00914556"/>
    <w:rsid w:val="00915069"/>
    <w:rsid w:val="00922C50"/>
    <w:rsid w:val="00923078"/>
    <w:rsid w:val="00925232"/>
    <w:rsid w:val="0092626A"/>
    <w:rsid w:val="00926C84"/>
    <w:rsid w:val="00927282"/>
    <w:rsid w:val="009309CF"/>
    <w:rsid w:val="00930AA5"/>
    <w:rsid w:val="00930D46"/>
    <w:rsid w:val="00931B29"/>
    <w:rsid w:val="00931D0C"/>
    <w:rsid w:val="00932E01"/>
    <w:rsid w:val="00935190"/>
    <w:rsid w:val="00935241"/>
    <w:rsid w:val="00935352"/>
    <w:rsid w:val="00935A14"/>
    <w:rsid w:val="00937021"/>
    <w:rsid w:val="009377C0"/>
    <w:rsid w:val="009409B2"/>
    <w:rsid w:val="0094162A"/>
    <w:rsid w:val="009417C1"/>
    <w:rsid w:val="009433D1"/>
    <w:rsid w:val="00944E38"/>
    <w:rsid w:val="00946105"/>
    <w:rsid w:val="00947692"/>
    <w:rsid w:val="00950F7D"/>
    <w:rsid w:val="00952526"/>
    <w:rsid w:val="00953365"/>
    <w:rsid w:val="0095455D"/>
    <w:rsid w:val="00957624"/>
    <w:rsid w:val="00960A14"/>
    <w:rsid w:val="0096432E"/>
    <w:rsid w:val="00965A6C"/>
    <w:rsid w:val="00970DC8"/>
    <w:rsid w:val="00971127"/>
    <w:rsid w:val="00971177"/>
    <w:rsid w:val="00972733"/>
    <w:rsid w:val="00972833"/>
    <w:rsid w:val="00973135"/>
    <w:rsid w:val="009745EF"/>
    <w:rsid w:val="00975372"/>
    <w:rsid w:val="00975E4A"/>
    <w:rsid w:val="00976C70"/>
    <w:rsid w:val="009772C0"/>
    <w:rsid w:val="0098126A"/>
    <w:rsid w:val="009817E3"/>
    <w:rsid w:val="00983152"/>
    <w:rsid w:val="00983D2B"/>
    <w:rsid w:val="009863E7"/>
    <w:rsid w:val="00986728"/>
    <w:rsid w:val="00986B22"/>
    <w:rsid w:val="0098735C"/>
    <w:rsid w:val="00987AE5"/>
    <w:rsid w:val="00987B4B"/>
    <w:rsid w:val="0099122A"/>
    <w:rsid w:val="00992A0A"/>
    <w:rsid w:val="00993A84"/>
    <w:rsid w:val="00993F5B"/>
    <w:rsid w:val="0099657C"/>
    <w:rsid w:val="00997EBD"/>
    <w:rsid w:val="009A094E"/>
    <w:rsid w:val="009A09E7"/>
    <w:rsid w:val="009A0BE3"/>
    <w:rsid w:val="009A220A"/>
    <w:rsid w:val="009A26C7"/>
    <w:rsid w:val="009A32CE"/>
    <w:rsid w:val="009A3D7B"/>
    <w:rsid w:val="009A491E"/>
    <w:rsid w:val="009A7277"/>
    <w:rsid w:val="009A785A"/>
    <w:rsid w:val="009B0A4A"/>
    <w:rsid w:val="009B2717"/>
    <w:rsid w:val="009B3267"/>
    <w:rsid w:val="009B5438"/>
    <w:rsid w:val="009B61BC"/>
    <w:rsid w:val="009B7365"/>
    <w:rsid w:val="009B75D6"/>
    <w:rsid w:val="009B7918"/>
    <w:rsid w:val="009B7925"/>
    <w:rsid w:val="009C32C6"/>
    <w:rsid w:val="009C5858"/>
    <w:rsid w:val="009C5DCC"/>
    <w:rsid w:val="009D078C"/>
    <w:rsid w:val="009D083F"/>
    <w:rsid w:val="009D1E4B"/>
    <w:rsid w:val="009D290A"/>
    <w:rsid w:val="009D3007"/>
    <w:rsid w:val="009D3310"/>
    <w:rsid w:val="009D355D"/>
    <w:rsid w:val="009D37F7"/>
    <w:rsid w:val="009D6A25"/>
    <w:rsid w:val="009E0DDD"/>
    <w:rsid w:val="009E2004"/>
    <w:rsid w:val="009E2503"/>
    <w:rsid w:val="009E27D2"/>
    <w:rsid w:val="009E4DA7"/>
    <w:rsid w:val="009E6EED"/>
    <w:rsid w:val="009F01AC"/>
    <w:rsid w:val="009F0B8C"/>
    <w:rsid w:val="009F3223"/>
    <w:rsid w:val="009F3369"/>
    <w:rsid w:val="009F47A0"/>
    <w:rsid w:val="009F5CFC"/>
    <w:rsid w:val="009F73F2"/>
    <w:rsid w:val="00A00D06"/>
    <w:rsid w:val="00A0485A"/>
    <w:rsid w:val="00A04DCC"/>
    <w:rsid w:val="00A06DE6"/>
    <w:rsid w:val="00A079DD"/>
    <w:rsid w:val="00A110EC"/>
    <w:rsid w:val="00A14BEF"/>
    <w:rsid w:val="00A14F3E"/>
    <w:rsid w:val="00A1532D"/>
    <w:rsid w:val="00A15AED"/>
    <w:rsid w:val="00A1673D"/>
    <w:rsid w:val="00A16F2A"/>
    <w:rsid w:val="00A16F34"/>
    <w:rsid w:val="00A20A9A"/>
    <w:rsid w:val="00A218B6"/>
    <w:rsid w:val="00A233E7"/>
    <w:rsid w:val="00A2374C"/>
    <w:rsid w:val="00A3046E"/>
    <w:rsid w:val="00A401BF"/>
    <w:rsid w:val="00A45B2D"/>
    <w:rsid w:val="00A45B73"/>
    <w:rsid w:val="00A52309"/>
    <w:rsid w:val="00A529BC"/>
    <w:rsid w:val="00A5433E"/>
    <w:rsid w:val="00A54751"/>
    <w:rsid w:val="00A60570"/>
    <w:rsid w:val="00A61582"/>
    <w:rsid w:val="00A626F0"/>
    <w:rsid w:val="00A632A3"/>
    <w:rsid w:val="00A638C1"/>
    <w:rsid w:val="00A64818"/>
    <w:rsid w:val="00A64866"/>
    <w:rsid w:val="00A64F7B"/>
    <w:rsid w:val="00A650A4"/>
    <w:rsid w:val="00A654B3"/>
    <w:rsid w:val="00A6575E"/>
    <w:rsid w:val="00A66296"/>
    <w:rsid w:val="00A665B6"/>
    <w:rsid w:val="00A6731F"/>
    <w:rsid w:val="00A67998"/>
    <w:rsid w:val="00A71836"/>
    <w:rsid w:val="00A7501A"/>
    <w:rsid w:val="00A757CE"/>
    <w:rsid w:val="00A77CFF"/>
    <w:rsid w:val="00A817E1"/>
    <w:rsid w:val="00A82C15"/>
    <w:rsid w:val="00A82D2E"/>
    <w:rsid w:val="00A834A2"/>
    <w:rsid w:val="00A835A5"/>
    <w:rsid w:val="00A848EE"/>
    <w:rsid w:val="00A854E4"/>
    <w:rsid w:val="00A85A9F"/>
    <w:rsid w:val="00A85B19"/>
    <w:rsid w:val="00A87901"/>
    <w:rsid w:val="00A9039C"/>
    <w:rsid w:val="00A92B87"/>
    <w:rsid w:val="00A937E9"/>
    <w:rsid w:val="00A94576"/>
    <w:rsid w:val="00A94934"/>
    <w:rsid w:val="00A958EA"/>
    <w:rsid w:val="00A966E6"/>
    <w:rsid w:val="00A97A99"/>
    <w:rsid w:val="00AA06D5"/>
    <w:rsid w:val="00AA0CCE"/>
    <w:rsid w:val="00AA2C4D"/>
    <w:rsid w:val="00AA4154"/>
    <w:rsid w:val="00AA422E"/>
    <w:rsid w:val="00AA6A48"/>
    <w:rsid w:val="00AA7DC4"/>
    <w:rsid w:val="00AB025F"/>
    <w:rsid w:val="00AB05EF"/>
    <w:rsid w:val="00AB394D"/>
    <w:rsid w:val="00AB505D"/>
    <w:rsid w:val="00AB6631"/>
    <w:rsid w:val="00AB6C87"/>
    <w:rsid w:val="00AB6EBE"/>
    <w:rsid w:val="00AB727D"/>
    <w:rsid w:val="00AC076C"/>
    <w:rsid w:val="00AC08E5"/>
    <w:rsid w:val="00AC13E4"/>
    <w:rsid w:val="00AC5116"/>
    <w:rsid w:val="00AC597D"/>
    <w:rsid w:val="00AD0853"/>
    <w:rsid w:val="00AD14B9"/>
    <w:rsid w:val="00AD35E2"/>
    <w:rsid w:val="00AD468C"/>
    <w:rsid w:val="00AD58BE"/>
    <w:rsid w:val="00AD7190"/>
    <w:rsid w:val="00AE0086"/>
    <w:rsid w:val="00AE082B"/>
    <w:rsid w:val="00AE12A2"/>
    <w:rsid w:val="00AE358B"/>
    <w:rsid w:val="00AE507F"/>
    <w:rsid w:val="00AE6454"/>
    <w:rsid w:val="00AE74A6"/>
    <w:rsid w:val="00AF0017"/>
    <w:rsid w:val="00AF0492"/>
    <w:rsid w:val="00AF09E4"/>
    <w:rsid w:val="00AF1568"/>
    <w:rsid w:val="00AF4A0C"/>
    <w:rsid w:val="00AF5FCA"/>
    <w:rsid w:val="00AF6435"/>
    <w:rsid w:val="00AF6C1A"/>
    <w:rsid w:val="00AF71E3"/>
    <w:rsid w:val="00AF7841"/>
    <w:rsid w:val="00B03A1D"/>
    <w:rsid w:val="00B05ECC"/>
    <w:rsid w:val="00B06570"/>
    <w:rsid w:val="00B11EFB"/>
    <w:rsid w:val="00B11FB9"/>
    <w:rsid w:val="00B15111"/>
    <w:rsid w:val="00B15BF3"/>
    <w:rsid w:val="00B1616E"/>
    <w:rsid w:val="00B166F7"/>
    <w:rsid w:val="00B1724B"/>
    <w:rsid w:val="00B17568"/>
    <w:rsid w:val="00B17C54"/>
    <w:rsid w:val="00B2158C"/>
    <w:rsid w:val="00B22425"/>
    <w:rsid w:val="00B23F01"/>
    <w:rsid w:val="00B24AAB"/>
    <w:rsid w:val="00B2693B"/>
    <w:rsid w:val="00B26F31"/>
    <w:rsid w:val="00B31CA4"/>
    <w:rsid w:val="00B326EE"/>
    <w:rsid w:val="00B334E9"/>
    <w:rsid w:val="00B425FD"/>
    <w:rsid w:val="00B4291A"/>
    <w:rsid w:val="00B44168"/>
    <w:rsid w:val="00B44554"/>
    <w:rsid w:val="00B45B1A"/>
    <w:rsid w:val="00B461B6"/>
    <w:rsid w:val="00B475C7"/>
    <w:rsid w:val="00B47B95"/>
    <w:rsid w:val="00B50400"/>
    <w:rsid w:val="00B50EE5"/>
    <w:rsid w:val="00B57098"/>
    <w:rsid w:val="00B579AB"/>
    <w:rsid w:val="00B57C03"/>
    <w:rsid w:val="00B616FC"/>
    <w:rsid w:val="00B629F3"/>
    <w:rsid w:val="00B65E98"/>
    <w:rsid w:val="00B662A0"/>
    <w:rsid w:val="00B701E3"/>
    <w:rsid w:val="00B72F81"/>
    <w:rsid w:val="00B73174"/>
    <w:rsid w:val="00B7409D"/>
    <w:rsid w:val="00B7507E"/>
    <w:rsid w:val="00B76588"/>
    <w:rsid w:val="00B860BC"/>
    <w:rsid w:val="00B86AA2"/>
    <w:rsid w:val="00B87027"/>
    <w:rsid w:val="00B87203"/>
    <w:rsid w:val="00B9092C"/>
    <w:rsid w:val="00B90EF4"/>
    <w:rsid w:val="00B9205B"/>
    <w:rsid w:val="00B92090"/>
    <w:rsid w:val="00B9210A"/>
    <w:rsid w:val="00B92EFE"/>
    <w:rsid w:val="00B93897"/>
    <w:rsid w:val="00B94902"/>
    <w:rsid w:val="00B94B50"/>
    <w:rsid w:val="00B94F60"/>
    <w:rsid w:val="00B95FAF"/>
    <w:rsid w:val="00B96BAC"/>
    <w:rsid w:val="00B96F5C"/>
    <w:rsid w:val="00B97783"/>
    <w:rsid w:val="00BA0259"/>
    <w:rsid w:val="00BA2F98"/>
    <w:rsid w:val="00BA59E5"/>
    <w:rsid w:val="00BA6676"/>
    <w:rsid w:val="00BB0F79"/>
    <w:rsid w:val="00BB1021"/>
    <w:rsid w:val="00BB1E88"/>
    <w:rsid w:val="00BB280F"/>
    <w:rsid w:val="00BB2DA1"/>
    <w:rsid w:val="00BB31F3"/>
    <w:rsid w:val="00BB4602"/>
    <w:rsid w:val="00BB5564"/>
    <w:rsid w:val="00BB5872"/>
    <w:rsid w:val="00BB61E7"/>
    <w:rsid w:val="00BB7B5B"/>
    <w:rsid w:val="00BB7C86"/>
    <w:rsid w:val="00BC1A76"/>
    <w:rsid w:val="00BC1BE0"/>
    <w:rsid w:val="00BC2594"/>
    <w:rsid w:val="00BC2FC5"/>
    <w:rsid w:val="00BC40D7"/>
    <w:rsid w:val="00BC41CC"/>
    <w:rsid w:val="00BC459D"/>
    <w:rsid w:val="00BC4D22"/>
    <w:rsid w:val="00BC531D"/>
    <w:rsid w:val="00BD01BB"/>
    <w:rsid w:val="00BD195C"/>
    <w:rsid w:val="00BD28F7"/>
    <w:rsid w:val="00BD40AB"/>
    <w:rsid w:val="00BD5ED3"/>
    <w:rsid w:val="00BD6A4E"/>
    <w:rsid w:val="00BD7154"/>
    <w:rsid w:val="00BE1221"/>
    <w:rsid w:val="00BE16FC"/>
    <w:rsid w:val="00BE1BBF"/>
    <w:rsid w:val="00BE2868"/>
    <w:rsid w:val="00BE2C28"/>
    <w:rsid w:val="00BF1FC7"/>
    <w:rsid w:val="00BF31A5"/>
    <w:rsid w:val="00BF336E"/>
    <w:rsid w:val="00BF4CD2"/>
    <w:rsid w:val="00BF698F"/>
    <w:rsid w:val="00C02024"/>
    <w:rsid w:val="00C021D0"/>
    <w:rsid w:val="00C04CF3"/>
    <w:rsid w:val="00C051C6"/>
    <w:rsid w:val="00C10324"/>
    <w:rsid w:val="00C10D81"/>
    <w:rsid w:val="00C10EBA"/>
    <w:rsid w:val="00C12431"/>
    <w:rsid w:val="00C1449C"/>
    <w:rsid w:val="00C207D6"/>
    <w:rsid w:val="00C22C09"/>
    <w:rsid w:val="00C23B59"/>
    <w:rsid w:val="00C24423"/>
    <w:rsid w:val="00C26FE7"/>
    <w:rsid w:val="00C309DD"/>
    <w:rsid w:val="00C311F0"/>
    <w:rsid w:val="00C32213"/>
    <w:rsid w:val="00C32E17"/>
    <w:rsid w:val="00C36265"/>
    <w:rsid w:val="00C36B8C"/>
    <w:rsid w:val="00C400D4"/>
    <w:rsid w:val="00C41CC2"/>
    <w:rsid w:val="00C427B5"/>
    <w:rsid w:val="00C430D5"/>
    <w:rsid w:val="00C433D7"/>
    <w:rsid w:val="00C440B0"/>
    <w:rsid w:val="00C44817"/>
    <w:rsid w:val="00C44CB6"/>
    <w:rsid w:val="00C507DA"/>
    <w:rsid w:val="00C50FDC"/>
    <w:rsid w:val="00C5557F"/>
    <w:rsid w:val="00C56282"/>
    <w:rsid w:val="00C600F6"/>
    <w:rsid w:val="00C62D72"/>
    <w:rsid w:val="00C6301A"/>
    <w:rsid w:val="00C646E9"/>
    <w:rsid w:val="00C658F3"/>
    <w:rsid w:val="00C65DBB"/>
    <w:rsid w:val="00C70139"/>
    <w:rsid w:val="00C7104D"/>
    <w:rsid w:val="00C73EA6"/>
    <w:rsid w:val="00C74261"/>
    <w:rsid w:val="00C746F0"/>
    <w:rsid w:val="00C819EC"/>
    <w:rsid w:val="00C81F7B"/>
    <w:rsid w:val="00C82207"/>
    <w:rsid w:val="00C82D07"/>
    <w:rsid w:val="00C857EC"/>
    <w:rsid w:val="00C86696"/>
    <w:rsid w:val="00C8762E"/>
    <w:rsid w:val="00C91778"/>
    <w:rsid w:val="00C9301A"/>
    <w:rsid w:val="00C937D2"/>
    <w:rsid w:val="00C94007"/>
    <w:rsid w:val="00C955A9"/>
    <w:rsid w:val="00C9574C"/>
    <w:rsid w:val="00C9603C"/>
    <w:rsid w:val="00C97487"/>
    <w:rsid w:val="00CA0640"/>
    <w:rsid w:val="00CA06AF"/>
    <w:rsid w:val="00CA078E"/>
    <w:rsid w:val="00CA1468"/>
    <w:rsid w:val="00CA15F4"/>
    <w:rsid w:val="00CA2E74"/>
    <w:rsid w:val="00CA55DC"/>
    <w:rsid w:val="00CB08DE"/>
    <w:rsid w:val="00CB31AC"/>
    <w:rsid w:val="00CB3A33"/>
    <w:rsid w:val="00CB4A68"/>
    <w:rsid w:val="00CB5EC2"/>
    <w:rsid w:val="00CB646F"/>
    <w:rsid w:val="00CC24E6"/>
    <w:rsid w:val="00CC5A57"/>
    <w:rsid w:val="00CC78BD"/>
    <w:rsid w:val="00CD121B"/>
    <w:rsid w:val="00CD2539"/>
    <w:rsid w:val="00CD50AA"/>
    <w:rsid w:val="00CD5477"/>
    <w:rsid w:val="00CE06C4"/>
    <w:rsid w:val="00CE0FFF"/>
    <w:rsid w:val="00CE1B3D"/>
    <w:rsid w:val="00CE26E3"/>
    <w:rsid w:val="00CE38C6"/>
    <w:rsid w:val="00CE3988"/>
    <w:rsid w:val="00CE3F49"/>
    <w:rsid w:val="00CE3F75"/>
    <w:rsid w:val="00CE41AC"/>
    <w:rsid w:val="00CE4D3B"/>
    <w:rsid w:val="00CE629C"/>
    <w:rsid w:val="00CE64F8"/>
    <w:rsid w:val="00CF05A7"/>
    <w:rsid w:val="00CF0DD4"/>
    <w:rsid w:val="00CF17E0"/>
    <w:rsid w:val="00CF17FB"/>
    <w:rsid w:val="00CF24A6"/>
    <w:rsid w:val="00CF27E6"/>
    <w:rsid w:val="00CF5465"/>
    <w:rsid w:val="00CF6EEC"/>
    <w:rsid w:val="00CF75FF"/>
    <w:rsid w:val="00CF77F4"/>
    <w:rsid w:val="00CF78A1"/>
    <w:rsid w:val="00D00BA5"/>
    <w:rsid w:val="00D0209C"/>
    <w:rsid w:val="00D027A8"/>
    <w:rsid w:val="00D0641F"/>
    <w:rsid w:val="00D10819"/>
    <w:rsid w:val="00D11A90"/>
    <w:rsid w:val="00D151CC"/>
    <w:rsid w:val="00D15545"/>
    <w:rsid w:val="00D21116"/>
    <w:rsid w:val="00D212C9"/>
    <w:rsid w:val="00D22A5B"/>
    <w:rsid w:val="00D26F4C"/>
    <w:rsid w:val="00D27C63"/>
    <w:rsid w:val="00D27D35"/>
    <w:rsid w:val="00D30915"/>
    <w:rsid w:val="00D30A6F"/>
    <w:rsid w:val="00D31274"/>
    <w:rsid w:val="00D31EA6"/>
    <w:rsid w:val="00D350EA"/>
    <w:rsid w:val="00D355C5"/>
    <w:rsid w:val="00D3602B"/>
    <w:rsid w:val="00D37480"/>
    <w:rsid w:val="00D3754D"/>
    <w:rsid w:val="00D376F5"/>
    <w:rsid w:val="00D40D27"/>
    <w:rsid w:val="00D40E87"/>
    <w:rsid w:val="00D41560"/>
    <w:rsid w:val="00D418AE"/>
    <w:rsid w:val="00D41AD9"/>
    <w:rsid w:val="00D4241D"/>
    <w:rsid w:val="00D4316D"/>
    <w:rsid w:val="00D46CC4"/>
    <w:rsid w:val="00D46F61"/>
    <w:rsid w:val="00D562C9"/>
    <w:rsid w:val="00D56664"/>
    <w:rsid w:val="00D60ABC"/>
    <w:rsid w:val="00D618DA"/>
    <w:rsid w:val="00D62027"/>
    <w:rsid w:val="00D6215C"/>
    <w:rsid w:val="00D62DF0"/>
    <w:rsid w:val="00D63326"/>
    <w:rsid w:val="00D64974"/>
    <w:rsid w:val="00D66A0A"/>
    <w:rsid w:val="00D671D6"/>
    <w:rsid w:val="00D67209"/>
    <w:rsid w:val="00D67338"/>
    <w:rsid w:val="00D67342"/>
    <w:rsid w:val="00D67587"/>
    <w:rsid w:val="00D678FB"/>
    <w:rsid w:val="00D709C0"/>
    <w:rsid w:val="00D714FD"/>
    <w:rsid w:val="00D72CDF"/>
    <w:rsid w:val="00D73DD7"/>
    <w:rsid w:val="00D748F3"/>
    <w:rsid w:val="00D74E40"/>
    <w:rsid w:val="00D74F37"/>
    <w:rsid w:val="00D77ACD"/>
    <w:rsid w:val="00D77D4C"/>
    <w:rsid w:val="00D807F3"/>
    <w:rsid w:val="00D80833"/>
    <w:rsid w:val="00D81F3C"/>
    <w:rsid w:val="00D8243F"/>
    <w:rsid w:val="00D83591"/>
    <w:rsid w:val="00D83A60"/>
    <w:rsid w:val="00D85B48"/>
    <w:rsid w:val="00D86495"/>
    <w:rsid w:val="00D86762"/>
    <w:rsid w:val="00D87758"/>
    <w:rsid w:val="00D87A47"/>
    <w:rsid w:val="00D900E7"/>
    <w:rsid w:val="00D91298"/>
    <w:rsid w:val="00D91553"/>
    <w:rsid w:val="00D92F47"/>
    <w:rsid w:val="00D93B8D"/>
    <w:rsid w:val="00D96D3F"/>
    <w:rsid w:val="00D97952"/>
    <w:rsid w:val="00DA03E4"/>
    <w:rsid w:val="00DA0788"/>
    <w:rsid w:val="00DA0A42"/>
    <w:rsid w:val="00DA13B4"/>
    <w:rsid w:val="00DA1B6E"/>
    <w:rsid w:val="00DA3140"/>
    <w:rsid w:val="00DA33E4"/>
    <w:rsid w:val="00DA550B"/>
    <w:rsid w:val="00DA6557"/>
    <w:rsid w:val="00DA7A51"/>
    <w:rsid w:val="00DB0612"/>
    <w:rsid w:val="00DB3040"/>
    <w:rsid w:val="00DB30B4"/>
    <w:rsid w:val="00DB4281"/>
    <w:rsid w:val="00DB62EA"/>
    <w:rsid w:val="00DB643F"/>
    <w:rsid w:val="00DB654B"/>
    <w:rsid w:val="00DB774F"/>
    <w:rsid w:val="00DC0917"/>
    <w:rsid w:val="00DC1554"/>
    <w:rsid w:val="00DC189B"/>
    <w:rsid w:val="00DC37F0"/>
    <w:rsid w:val="00DC44A0"/>
    <w:rsid w:val="00DC4924"/>
    <w:rsid w:val="00DC526C"/>
    <w:rsid w:val="00DC63B1"/>
    <w:rsid w:val="00DC6D78"/>
    <w:rsid w:val="00DC701C"/>
    <w:rsid w:val="00DD037D"/>
    <w:rsid w:val="00DD1BD9"/>
    <w:rsid w:val="00DD24FA"/>
    <w:rsid w:val="00DD2921"/>
    <w:rsid w:val="00DD2FB1"/>
    <w:rsid w:val="00DD4403"/>
    <w:rsid w:val="00DD7FDA"/>
    <w:rsid w:val="00DE2C99"/>
    <w:rsid w:val="00DE3D73"/>
    <w:rsid w:val="00DE783E"/>
    <w:rsid w:val="00DE7E05"/>
    <w:rsid w:val="00DF047F"/>
    <w:rsid w:val="00DF0746"/>
    <w:rsid w:val="00DF0E2F"/>
    <w:rsid w:val="00DF0F2D"/>
    <w:rsid w:val="00DF1FE8"/>
    <w:rsid w:val="00DF4B42"/>
    <w:rsid w:val="00DF55A5"/>
    <w:rsid w:val="00DF55D8"/>
    <w:rsid w:val="00DF5D97"/>
    <w:rsid w:val="00DF733B"/>
    <w:rsid w:val="00E00A64"/>
    <w:rsid w:val="00E026F2"/>
    <w:rsid w:val="00E02FEC"/>
    <w:rsid w:val="00E06CF6"/>
    <w:rsid w:val="00E07B2A"/>
    <w:rsid w:val="00E113AD"/>
    <w:rsid w:val="00E11C57"/>
    <w:rsid w:val="00E138D4"/>
    <w:rsid w:val="00E15FDD"/>
    <w:rsid w:val="00E21242"/>
    <w:rsid w:val="00E21923"/>
    <w:rsid w:val="00E223AE"/>
    <w:rsid w:val="00E22759"/>
    <w:rsid w:val="00E2348D"/>
    <w:rsid w:val="00E25912"/>
    <w:rsid w:val="00E262B5"/>
    <w:rsid w:val="00E26A45"/>
    <w:rsid w:val="00E33150"/>
    <w:rsid w:val="00E33E52"/>
    <w:rsid w:val="00E3573F"/>
    <w:rsid w:val="00E41DD7"/>
    <w:rsid w:val="00E443E9"/>
    <w:rsid w:val="00E444BA"/>
    <w:rsid w:val="00E45738"/>
    <w:rsid w:val="00E504B8"/>
    <w:rsid w:val="00E505CC"/>
    <w:rsid w:val="00E51E37"/>
    <w:rsid w:val="00E578DF"/>
    <w:rsid w:val="00E608E5"/>
    <w:rsid w:val="00E65C81"/>
    <w:rsid w:val="00E65ED0"/>
    <w:rsid w:val="00E66AB2"/>
    <w:rsid w:val="00E66DFC"/>
    <w:rsid w:val="00E71752"/>
    <w:rsid w:val="00E723B3"/>
    <w:rsid w:val="00E732D9"/>
    <w:rsid w:val="00E74EBE"/>
    <w:rsid w:val="00E74ED4"/>
    <w:rsid w:val="00E7527A"/>
    <w:rsid w:val="00E7765D"/>
    <w:rsid w:val="00E77E33"/>
    <w:rsid w:val="00E82DAB"/>
    <w:rsid w:val="00E835A2"/>
    <w:rsid w:val="00E87521"/>
    <w:rsid w:val="00E92330"/>
    <w:rsid w:val="00E9266F"/>
    <w:rsid w:val="00E949D1"/>
    <w:rsid w:val="00E958D7"/>
    <w:rsid w:val="00E9664D"/>
    <w:rsid w:val="00E97B67"/>
    <w:rsid w:val="00EA0AD0"/>
    <w:rsid w:val="00EA16AF"/>
    <w:rsid w:val="00EA347B"/>
    <w:rsid w:val="00EA74C3"/>
    <w:rsid w:val="00EA75A4"/>
    <w:rsid w:val="00EA7995"/>
    <w:rsid w:val="00EB0500"/>
    <w:rsid w:val="00EB0EC9"/>
    <w:rsid w:val="00EB13E0"/>
    <w:rsid w:val="00EB142D"/>
    <w:rsid w:val="00EB21D8"/>
    <w:rsid w:val="00EB34EC"/>
    <w:rsid w:val="00EB5395"/>
    <w:rsid w:val="00EB6D47"/>
    <w:rsid w:val="00EB6F21"/>
    <w:rsid w:val="00EC006F"/>
    <w:rsid w:val="00EC0100"/>
    <w:rsid w:val="00EC2349"/>
    <w:rsid w:val="00EC2512"/>
    <w:rsid w:val="00EC26EC"/>
    <w:rsid w:val="00EC2BA9"/>
    <w:rsid w:val="00EC43F1"/>
    <w:rsid w:val="00EC4F6D"/>
    <w:rsid w:val="00EC5DE7"/>
    <w:rsid w:val="00EC6272"/>
    <w:rsid w:val="00EC6809"/>
    <w:rsid w:val="00EC7955"/>
    <w:rsid w:val="00ED26D1"/>
    <w:rsid w:val="00ED3F5C"/>
    <w:rsid w:val="00ED5A7B"/>
    <w:rsid w:val="00EE3428"/>
    <w:rsid w:val="00EE363A"/>
    <w:rsid w:val="00EE49EA"/>
    <w:rsid w:val="00EE4CDF"/>
    <w:rsid w:val="00EE4D5D"/>
    <w:rsid w:val="00EE6E8D"/>
    <w:rsid w:val="00EE7F8A"/>
    <w:rsid w:val="00EF01E5"/>
    <w:rsid w:val="00EF1D06"/>
    <w:rsid w:val="00EF2D2E"/>
    <w:rsid w:val="00EF3F10"/>
    <w:rsid w:val="00EF42BE"/>
    <w:rsid w:val="00F00E82"/>
    <w:rsid w:val="00F01993"/>
    <w:rsid w:val="00F03C28"/>
    <w:rsid w:val="00F04C11"/>
    <w:rsid w:val="00F06588"/>
    <w:rsid w:val="00F06CC4"/>
    <w:rsid w:val="00F113C0"/>
    <w:rsid w:val="00F119CC"/>
    <w:rsid w:val="00F129EA"/>
    <w:rsid w:val="00F13C3C"/>
    <w:rsid w:val="00F150E5"/>
    <w:rsid w:val="00F179CB"/>
    <w:rsid w:val="00F20F8A"/>
    <w:rsid w:val="00F234D4"/>
    <w:rsid w:val="00F23C6F"/>
    <w:rsid w:val="00F248FD"/>
    <w:rsid w:val="00F25622"/>
    <w:rsid w:val="00F25B69"/>
    <w:rsid w:val="00F27FFE"/>
    <w:rsid w:val="00F31FDE"/>
    <w:rsid w:val="00F32A62"/>
    <w:rsid w:val="00F35254"/>
    <w:rsid w:val="00F367C6"/>
    <w:rsid w:val="00F4684B"/>
    <w:rsid w:val="00F51117"/>
    <w:rsid w:val="00F52252"/>
    <w:rsid w:val="00F64F30"/>
    <w:rsid w:val="00F6662A"/>
    <w:rsid w:val="00F66E9A"/>
    <w:rsid w:val="00F70085"/>
    <w:rsid w:val="00F70527"/>
    <w:rsid w:val="00F75072"/>
    <w:rsid w:val="00F77380"/>
    <w:rsid w:val="00F77B9E"/>
    <w:rsid w:val="00F801DC"/>
    <w:rsid w:val="00F803BF"/>
    <w:rsid w:val="00F807C7"/>
    <w:rsid w:val="00F826B0"/>
    <w:rsid w:val="00F84456"/>
    <w:rsid w:val="00F85571"/>
    <w:rsid w:val="00F870D2"/>
    <w:rsid w:val="00F902CE"/>
    <w:rsid w:val="00F90B98"/>
    <w:rsid w:val="00F90C2B"/>
    <w:rsid w:val="00F927A5"/>
    <w:rsid w:val="00F94A2F"/>
    <w:rsid w:val="00F94D5E"/>
    <w:rsid w:val="00F95469"/>
    <w:rsid w:val="00F95AAE"/>
    <w:rsid w:val="00FA0B8D"/>
    <w:rsid w:val="00FA1632"/>
    <w:rsid w:val="00FA17A0"/>
    <w:rsid w:val="00FA19A3"/>
    <w:rsid w:val="00FA1AEA"/>
    <w:rsid w:val="00FA3B95"/>
    <w:rsid w:val="00FA4E53"/>
    <w:rsid w:val="00FA5543"/>
    <w:rsid w:val="00FB005A"/>
    <w:rsid w:val="00FB2BFD"/>
    <w:rsid w:val="00FB32B3"/>
    <w:rsid w:val="00FB3D03"/>
    <w:rsid w:val="00FB3E2E"/>
    <w:rsid w:val="00FB4ABF"/>
    <w:rsid w:val="00FB68BF"/>
    <w:rsid w:val="00FB68E9"/>
    <w:rsid w:val="00FB6DE8"/>
    <w:rsid w:val="00FB7644"/>
    <w:rsid w:val="00FC02EB"/>
    <w:rsid w:val="00FC45E3"/>
    <w:rsid w:val="00FC47C5"/>
    <w:rsid w:val="00FC4864"/>
    <w:rsid w:val="00FC5A64"/>
    <w:rsid w:val="00FC6170"/>
    <w:rsid w:val="00FD1792"/>
    <w:rsid w:val="00FD1AA3"/>
    <w:rsid w:val="00FD2376"/>
    <w:rsid w:val="00FD2950"/>
    <w:rsid w:val="00FD2C1A"/>
    <w:rsid w:val="00FD3185"/>
    <w:rsid w:val="00FD353C"/>
    <w:rsid w:val="00FD4B00"/>
    <w:rsid w:val="00FD5407"/>
    <w:rsid w:val="00FD541A"/>
    <w:rsid w:val="00FE07B1"/>
    <w:rsid w:val="00FE1319"/>
    <w:rsid w:val="00FE2058"/>
    <w:rsid w:val="00FE245A"/>
    <w:rsid w:val="00FE2735"/>
    <w:rsid w:val="00FE2A6A"/>
    <w:rsid w:val="00FE2E5F"/>
    <w:rsid w:val="00FE4246"/>
    <w:rsid w:val="00FE4E96"/>
    <w:rsid w:val="00FE4FCA"/>
    <w:rsid w:val="00FE5E50"/>
    <w:rsid w:val="00FE6024"/>
    <w:rsid w:val="00FE7B38"/>
    <w:rsid w:val="00FF2A70"/>
    <w:rsid w:val="00FF418C"/>
    <w:rsid w:val="00FF5695"/>
    <w:rsid w:val="00FF62FC"/>
    <w:rsid w:val="00F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7F7A5F0"/>
  <w15:docId w15:val="{AF741D14-7C62-4FCC-8D41-5BF362603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8519F7"/>
    <w:pPr>
      <w:ind w:left="720"/>
      <w:contextualSpacing/>
    </w:pPr>
  </w:style>
  <w:style w:type="paragraph" w:styleId="Notedebasdepage">
    <w:name w:val="footnote text"/>
    <w:basedOn w:val="Normal"/>
    <w:link w:val="NotedebasdepageCar"/>
    <w:semiHidden/>
    <w:unhideWhenUsed/>
    <w:rsid w:val="005C55E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5C55E7"/>
    <w:rPr>
      <w:sz w:val="20"/>
      <w:szCs w:val="20"/>
    </w:rPr>
  </w:style>
  <w:style w:type="character" w:styleId="Appelnotedebasdep">
    <w:name w:val="footnote reference"/>
    <w:basedOn w:val="Policepardfaut"/>
    <w:semiHidden/>
    <w:unhideWhenUsed/>
    <w:rsid w:val="005C55E7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B73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3174"/>
  </w:style>
  <w:style w:type="paragraph" w:styleId="Pieddepage">
    <w:name w:val="footer"/>
    <w:basedOn w:val="Normal"/>
    <w:link w:val="PieddepageCar"/>
    <w:uiPriority w:val="99"/>
    <w:unhideWhenUsed/>
    <w:rsid w:val="00B73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3174"/>
  </w:style>
  <w:style w:type="table" w:styleId="Grilledutableau">
    <w:name w:val="Table Grid"/>
    <w:basedOn w:val="TableauNormal"/>
    <w:rsid w:val="00356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E4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4E2F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701B5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01B5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01B5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01B5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01B5D"/>
    <w:rPr>
      <w:b/>
      <w:bCs/>
      <w:sz w:val="20"/>
      <w:szCs w:val="20"/>
    </w:rPr>
  </w:style>
  <w:style w:type="paragraph" w:styleId="Sansinterligne">
    <w:name w:val="No Spacing"/>
    <w:uiPriority w:val="1"/>
    <w:qFormat/>
    <w:rsid w:val="00330C2D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F2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7436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0ad063-18ad-4023-a8d9-ba1a0d0e66b8">
      <Value>27</Value>
    </TaxCatchAll>
    <Type_x0020_de_x0020_document xmlns="40598c5b-eb8b-44b6-acb4-096b356a2fab" xsi:nil="true"/>
    <e03f3dd452ed4d79aff0ab23e5d8c1b6 xmlns="40598c5b-eb8b-44b6-acb4-096b356a2fab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Documents provisoires</TermName>
          <TermId xmlns="http://schemas.microsoft.com/office/infopath/2007/PartnerControls">30b414c5-c73a-4a2f-bfe1-8284126dc5b0</TermId>
        </TermInfo>
      </Terms>
    </e03f3dd452ed4d79aff0ab23e5d8c1b6>
    <SharedWithUsers xmlns="b90ad063-18ad-4023-a8d9-ba1a0d0e66b8">
      <UserInfo>
        <DisplayName>CHAPEAUX Loïc ( FFB DAEFI )</DisplayName>
        <AccountId>18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0EB64245E8C943AB90D04A548EC969" ma:contentTypeVersion="7" ma:contentTypeDescription="Crée un document." ma:contentTypeScope="" ma:versionID="e91ee18d774fd400e1d0b162c913250f">
  <xsd:schema xmlns:xsd="http://www.w3.org/2001/XMLSchema" xmlns:xs="http://www.w3.org/2001/XMLSchema" xmlns:p="http://schemas.microsoft.com/office/2006/metadata/properties" xmlns:ns2="40598c5b-eb8b-44b6-acb4-096b356a2fab" xmlns:ns3="b90ad063-18ad-4023-a8d9-ba1a0d0e66b8" targetNamespace="http://schemas.microsoft.com/office/2006/metadata/properties" ma:root="true" ma:fieldsID="f44a5fe5fe8c2453098d8436fd77f5d4" ns2:_="" ns3:_="">
    <xsd:import namespace="40598c5b-eb8b-44b6-acb4-096b356a2fab"/>
    <xsd:import namespace="b90ad063-18ad-4023-a8d9-ba1a0d0e66b8"/>
    <xsd:element name="properties">
      <xsd:complexType>
        <xsd:sequence>
          <xsd:element name="documentManagement">
            <xsd:complexType>
              <xsd:all>
                <xsd:element ref="ns2:Type_x0020_de_x0020_document" minOccurs="0"/>
                <xsd:element ref="ns2:e03f3dd452ed4d79aff0ab23e5d8c1b6" minOccurs="0"/>
                <xsd:element ref="ns3:TaxCatchAl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98c5b-eb8b-44b6-acb4-096b356a2fab" elementFormDefault="qualified">
    <xsd:import namespace="http://schemas.microsoft.com/office/2006/documentManagement/types"/>
    <xsd:import namespace="http://schemas.microsoft.com/office/infopath/2007/PartnerControls"/>
    <xsd:element name="Type_x0020_de_x0020_document" ma:index="8" nillable="true" ma:displayName="Type de document" ma:format="Dropdown" ma:internalName="Type_x0020_de_x0020_document">
      <xsd:simpleType>
        <xsd:restriction base="dms:Choice">
          <xsd:enumeration value="Word"/>
          <xsd:enumeration value="Powerpoint"/>
          <xsd:enumeration value="Excel"/>
          <xsd:enumeration value="PDF"/>
          <xsd:enumeration value="Autre"/>
        </xsd:restriction>
      </xsd:simpleType>
    </xsd:element>
    <xsd:element name="e03f3dd452ed4d79aff0ab23e5d8c1b6" ma:index="10" ma:taxonomy="true" ma:internalName="e03f3dd452ed4d79aff0ab23e5d8c1b6" ma:taxonomyFieldName="Th_x00e8_mes_x0020_du_x0020_document" ma:displayName="Thèmes du document" ma:readOnly="false" ma:default="1;#SEE|81099eea-3737-4fde-9257-bfa293ae1818" ma:fieldId="{e03f3dd4-52ed-4d79-aff0-ab23e5d8c1b6}" ma:taxonomyMulti="true" ma:sspId="16fb23be-d400-4d26-b240-6ede1ba76c2a" ma:termSetId="c1980e8c-4c88-4cf8-9104-98d37fd01eb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ad063-18ad-4023-a8d9-ba1a0d0e66b8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09cd5039-f872-497a-b846-607916489662}" ma:internalName="TaxCatchAll" ma:showField="CatchAllData" ma:web="b90ad063-18ad-4023-a8d9-ba1a0d0e66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2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2FD89-651D-49F5-A6DC-DA9EB4B1F50D}">
  <ds:schemaRefs>
    <ds:schemaRef ds:uri="http://www.w3.org/XML/1998/namespace"/>
    <ds:schemaRef ds:uri="40598c5b-eb8b-44b6-acb4-096b356a2fab"/>
    <ds:schemaRef ds:uri="http://purl.org/dc/terms/"/>
    <ds:schemaRef ds:uri="http://schemas.microsoft.com/office/2006/metadata/properties"/>
    <ds:schemaRef ds:uri="http://schemas.microsoft.com/office/infopath/2007/PartnerControls"/>
    <ds:schemaRef ds:uri="b90ad063-18ad-4023-a8d9-ba1a0d0e66b8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06B2621-3F2D-4972-9254-2269A043D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1444A6-2A08-49D0-926D-ED82FB52A0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598c5b-eb8b-44b6-acb4-096b356a2fab"/>
    <ds:schemaRef ds:uri="b90ad063-18ad-4023-a8d9-ba1a0d0e6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0476F3-5CDB-4B57-A11B-82F61F46D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3285</Words>
  <Characters>18071</Characters>
  <Application>Microsoft Office Word</Application>
  <DocSecurity>4</DocSecurity>
  <Lines>150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FFB</Company>
  <LinksUpToDate>false</LinksUpToDate>
  <CharactersWithSpaces>21314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QUINTON Eric ( FFB SEE )</dc:creator>
  <cp:keywords>2019</cp:keywords>
  <dc:description/>
  <cp:lastModifiedBy>CUCHEVAL Anaïk ( FFB Editions Presse et communication )</cp:lastModifiedBy>
  <cp:revision>2</cp:revision>
  <cp:lastPrinted>2019-09-10T05:53:00Z</cp:lastPrinted>
  <dcterms:created xsi:type="dcterms:W3CDTF">2019-09-10T06:03:00Z</dcterms:created>
  <dcterms:modified xsi:type="dcterms:W3CDTF">2019-09-10T06:03:00Z</dcterms:modified>
  <cp:category>Conférences presse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0x010100FC0EB64245E8C943AB90D04A548EC969</vt:lpwstr>
  </property>
  <property fmtid="{D5CDD505-2E9C-101B-9397-08002B2CF9AE}" pid="3" name="IsMyDocuments">
    <vt:bool>true</vt:bool>
  </property>
  <property fmtid="{D5CDD505-2E9C-101B-9397-08002B2CF9AE}" pid="4" name="Thèmes du document">
    <vt:lpwstr>27;#Documents provisoires|30b414c5-c73a-4a2f-bfe1-8284126dc5b0</vt:lpwstr>
  </property>
</Properties>
</file>