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311B" w14:textId="06E11B27" w:rsidR="00EF01E5" w:rsidRDefault="00F83C89" w:rsidP="006F65E6">
      <w:pPr>
        <w:spacing w:before="120" w:after="0" w:line="360" w:lineRule="auto"/>
        <w:jc w:val="center"/>
        <w:rPr>
          <w:rFonts w:ascii="Arial" w:eastAsia="Times New Roman" w:hAnsi="Arial" w:cs="Arial"/>
          <w:b/>
          <w:sz w:val="36"/>
          <w:szCs w:val="36"/>
          <w:u w:val="single"/>
          <w:lang w:eastAsia="fr-FR"/>
        </w:rPr>
      </w:pPr>
      <w:r>
        <w:rPr>
          <w:rFonts w:ascii="Arial" w:eastAsia="Times New Roman" w:hAnsi="Arial" w:cs="Arial"/>
          <w:b/>
          <w:sz w:val="36"/>
          <w:szCs w:val="36"/>
          <w:u w:val="single"/>
          <w:lang w:eastAsia="fr-FR"/>
        </w:rPr>
        <w:t>Bilan</w:t>
      </w:r>
      <w:r w:rsidR="00A8223C">
        <w:rPr>
          <w:rFonts w:ascii="Arial" w:eastAsia="Times New Roman" w:hAnsi="Arial" w:cs="Arial"/>
          <w:b/>
          <w:sz w:val="36"/>
          <w:szCs w:val="36"/>
          <w:u w:val="single"/>
          <w:lang w:eastAsia="fr-FR"/>
        </w:rPr>
        <w:t xml:space="preserve"> </w:t>
      </w:r>
      <w:r w:rsidR="00312D91">
        <w:rPr>
          <w:rFonts w:ascii="Arial" w:eastAsia="Times New Roman" w:hAnsi="Arial" w:cs="Arial"/>
          <w:b/>
          <w:sz w:val="36"/>
          <w:szCs w:val="36"/>
          <w:u w:val="single"/>
          <w:lang w:eastAsia="fr-FR"/>
        </w:rPr>
        <w:t>202</w:t>
      </w:r>
      <w:r w:rsidR="00F77E6A">
        <w:rPr>
          <w:rFonts w:ascii="Arial" w:eastAsia="Times New Roman" w:hAnsi="Arial" w:cs="Arial"/>
          <w:b/>
          <w:sz w:val="36"/>
          <w:szCs w:val="36"/>
          <w:u w:val="single"/>
          <w:lang w:eastAsia="fr-FR"/>
        </w:rPr>
        <w:t>4</w:t>
      </w:r>
      <w:r>
        <w:rPr>
          <w:rFonts w:ascii="Arial" w:eastAsia="Times New Roman" w:hAnsi="Arial" w:cs="Arial"/>
          <w:b/>
          <w:sz w:val="36"/>
          <w:szCs w:val="36"/>
          <w:u w:val="single"/>
          <w:lang w:eastAsia="fr-FR"/>
        </w:rPr>
        <w:t xml:space="preserve"> et prévisions 202</w:t>
      </w:r>
      <w:r w:rsidR="00F77E6A">
        <w:rPr>
          <w:rFonts w:ascii="Arial" w:eastAsia="Times New Roman" w:hAnsi="Arial" w:cs="Arial"/>
          <w:b/>
          <w:sz w:val="36"/>
          <w:szCs w:val="36"/>
          <w:u w:val="single"/>
          <w:lang w:eastAsia="fr-FR"/>
        </w:rPr>
        <w:t>5</w:t>
      </w:r>
    </w:p>
    <w:p w14:paraId="3E7444E5" w14:textId="77777777" w:rsidR="006F65E6" w:rsidRPr="006F65E6" w:rsidRDefault="006F65E6" w:rsidP="006F65E6">
      <w:pPr>
        <w:spacing w:after="0" w:line="240" w:lineRule="auto"/>
        <w:jc w:val="both"/>
        <w:rPr>
          <w:rFonts w:ascii="Arial" w:hAnsi="Arial" w:cs="Arial"/>
          <w:color w:val="000000" w:themeColor="text1"/>
        </w:rPr>
      </w:pPr>
    </w:p>
    <w:tbl>
      <w:tblPr>
        <w:tblStyle w:val="Grilledutableau"/>
        <w:tblW w:w="0" w:type="auto"/>
        <w:tblBorders>
          <w:top w:val="none" w:sz="0" w:space="0" w:color="auto"/>
        </w:tblBorders>
        <w:tblLook w:val="04A0" w:firstRow="1" w:lastRow="0" w:firstColumn="1" w:lastColumn="0" w:noHBand="0" w:noVBand="1"/>
      </w:tblPr>
      <w:tblGrid>
        <w:gridCol w:w="9062"/>
      </w:tblGrid>
      <w:tr w:rsidR="00EF01E5" w14:paraId="50463381" w14:textId="77777777" w:rsidTr="00D22BE6">
        <w:tc>
          <w:tcPr>
            <w:tcW w:w="9062" w:type="dxa"/>
          </w:tcPr>
          <w:p w14:paraId="0B10EA27" w14:textId="511F9F9B" w:rsidR="00D22BE6" w:rsidRPr="00D22BE6" w:rsidRDefault="00D22BE6" w:rsidP="00D22BE6">
            <w:pPr>
              <w:pBdr>
                <w:top w:val="single" w:sz="2" w:space="1" w:color="auto"/>
                <w:left w:val="single" w:sz="2" w:space="4" w:color="auto"/>
                <w:bottom w:val="single" w:sz="2" w:space="1" w:color="auto"/>
                <w:right w:val="single" w:sz="2" w:space="4" w:color="auto"/>
              </w:pBdr>
              <w:spacing w:line="312" w:lineRule="auto"/>
              <w:jc w:val="both"/>
              <w:rPr>
                <w:rFonts w:ascii="Arial" w:hAnsi="Arial" w:cs="Arial"/>
                <w:b/>
              </w:rPr>
            </w:pPr>
            <w:r w:rsidRPr="00D22BE6">
              <w:rPr>
                <w:rFonts w:ascii="Arial" w:hAnsi="Arial" w:cs="Arial"/>
                <w:b/>
              </w:rPr>
              <w:t>En 2024, le bâtiment entre pleinement en récession, à -6,6 % en volume, du fait largement du logement neuf dont l’activité plonge de 21,9 %. De fait, après -24,9 % en 2023, les mises en chantier poursuivent leur chute, à -14,2 %, pour atteindre un plancher historique de 253 000 unités. Il faut remonter en 1954 pour retrouver un tel niveau ! Par ailleurs, le non résidentiel neuf voit sa production décrocher de 7,4 % à prix constants, tous ses segments s’affichant en net recul hormis les bâtiments publics stables. Seul l’amélioration-entretien progresse à +1,2 % en volume, soit à rythme deux fois moindre qu’en 2023, pénalisé par la rénovation du logement (+0,8</w:t>
            </w:r>
            <w:r w:rsidR="003E7535">
              <w:rPr>
                <w:rFonts w:ascii="Arial" w:hAnsi="Arial" w:cs="Arial"/>
                <w:b/>
              </w:rPr>
              <w:t> </w:t>
            </w:r>
            <w:r w:rsidRPr="00D22BE6">
              <w:rPr>
                <w:rFonts w:ascii="Arial" w:hAnsi="Arial" w:cs="Arial"/>
                <w:b/>
              </w:rPr>
              <w:t>%). Ce dernier a dû faire face à la réforme ratée de MaPrimeRénov’ sur les cinq premiers mois de 2024, mais aussi au nouveau recul des transactions de logements anciens avec travaux immédiats. Malgré une activité en berne, l’emploi ne baisse que de 2</w:t>
            </w:r>
            <w:r w:rsidR="003E7535">
              <w:rPr>
                <w:rFonts w:ascii="Arial" w:hAnsi="Arial" w:cs="Arial"/>
                <w:b/>
              </w:rPr>
              <w:t>,2</w:t>
            </w:r>
            <w:r w:rsidRPr="00D22BE6">
              <w:rPr>
                <w:rFonts w:ascii="Arial" w:hAnsi="Arial" w:cs="Arial"/>
                <w:b/>
              </w:rPr>
              <w:t xml:space="preserve"> % en 2024, soit 30 000 postes salariés et intérimaires en équivalent-emplois à temps plein perdus.</w:t>
            </w:r>
          </w:p>
          <w:p w14:paraId="22F39A4F" w14:textId="4EC2F133" w:rsidR="00D22BE6" w:rsidRPr="00D22BE6" w:rsidRDefault="00D22BE6" w:rsidP="00D22BE6">
            <w:pPr>
              <w:pBdr>
                <w:top w:val="single" w:sz="2" w:space="1" w:color="auto"/>
                <w:left w:val="single" w:sz="2" w:space="4" w:color="auto"/>
                <w:bottom w:val="single" w:sz="2" w:space="1" w:color="auto"/>
                <w:right w:val="single" w:sz="2" w:space="4" w:color="auto"/>
              </w:pBdr>
              <w:spacing w:line="312" w:lineRule="auto"/>
              <w:jc w:val="both"/>
              <w:rPr>
                <w:rFonts w:ascii="Arial" w:hAnsi="Arial" w:cs="Arial"/>
                <w:b/>
              </w:rPr>
            </w:pPr>
            <w:r w:rsidRPr="00D22BE6">
              <w:rPr>
                <w:rFonts w:ascii="Arial" w:hAnsi="Arial" w:cs="Arial"/>
                <w:b/>
              </w:rPr>
              <w:t>L’année 2025 s’annonce très mauvaise dans le bâtiment, avec une activité qui se contracter</w:t>
            </w:r>
            <w:r w:rsidR="003E7535">
              <w:rPr>
                <w:rFonts w:ascii="Arial" w:hAnsi="Arial" w:cs="Arial"/>
                <w:b/>
              </w:rPr>
              <w:t>ait</w:t>
            </w:r>
            <w:r w:rsidRPr="00D22BE6">
              <w:rPr>
                <w:rFonts w:ascii="Arial" w:hAnsi="Arial" w:cs="Arial"/>
                <w:b/>
              </w:rPr>
              <w:t xml:space="preserve"> encore de 5,6 % en volume, une nouvelle fois pénalisé</w:t>
            </w:r>
            <w:r w:rsidR="003E7535">
              <w:rPr>
                <w:rFonts w:ascii="Arial" w:hAnsi="Arial" w:cs="Arial"/>
                <w:b/>
              </w:rPr>
              <w:t>e</w:t>
            </w:r>
            <w:r w:rsidRPr="00D22BE6">
              <w:rPr>
                <w:rFonts w:ascii="Arial" w:hAnsi="Arial" w:cs="Arial"/>
                <w:b/>
              </w:rPr>
              <w:t xml:space="preserve"> par le neuf. En détail, le logement neuf abandonnerait 14,2 %, dans le sillage d’un nouveau plancher des ouvertures de chantier à 239 000 unités, avec une nouvelle chute dans l’individuel à 8</w:t>
            </w:r>
            <w:r w:rsidR="003E7535">
              <w:rPr>
                <w:rFonts w:ascii="Arial" w:hAnsi="Arial" w:cs="Arial"/>
                <w:b/>
              </w:rPr>
              <w:t>6</w:t>
            </w:r>
            <w:r w:rsidRPr="00D22BE6">
              <w:rPr>
                <w:rFonts w:ascii="Arial" w:hAnsi="Arial" w:cs="Arial"/>
                <w:b/>
              </w:rPr>
              <w:t xml:space="preserve"> 000 unités (-12,6 %) et malgré une faible baisse dans le collectif à </w:t>
            </w:r>
            <w:r w:rsidR="003E7535">
              <w:rPr>
                <w:rFonts w:ascii="Arial" w:hAnsi="Arial" w:cs="Arial"/>
                <w:b/>
              </w:rPr>
              <w:t>153 000</w:t>
            </w:r>
            <w:r w:rsidRPr="00D22BE6">
              <w:rPr>
                <w:rFonts w:ascii="Arial" w:hAnsi="Arial" w:cs="Arial"/>
                <w:b/>
              </w:rPr>
              <w:t xml:space="preserve"> unités (-</w:t>
            </w:r>
            <w:r>
              <w:rPr>
                <w:rFonts w:ascii="Arial" w:hAnsi="Arial" w:cs="Arial"/>
                <w:b/>
              </w:rPr>
              <w:t> </w:t>
            </w:r>
            <w:r w:rsidRPr="00D22BE6">
              <w:rPr>
                <w:rFonts w:ascii="Arial" w:hAnsi="Arial" w:cs="Arial"/>
                <w:b/>
              </w:rPr>
              <w:t>1,2</w:t>
            </w:r>
            <w:r>
              <w:rPr>
                <w:rFonts w:ascii="Arial" w:hAnsi="Arial" w:cs="Arial"/>
                <w:b/>
              </w:rPr>
              <w:t> </w:t>
            </w:r>
            <w:r w:rsidRPr="00D22BE6">
              <w:rPr>
                <w:rFonts w:ascii="Arial" w:hAnsi="Arial" w:cs="Arial"/>
                <w:b/>
              </w:rPr>
              <w:t>%). Le non résidentiel neuf souffrirait de l’accélération de la baisse de l’investissement macroéconomique professionnel, à -15,0 %, aucun segment n’étant épargné, même les locaux administratifs qui pâtiraient de l’attentisme des collectivités locales malgré un positionnement favorable dans le cycle électoral municipal. L’amélioration-entretien ralentirait à nouveau à +0,9 %, en raison du net tassement du non résidentiel (+0,6 %) alors que le logement accélèrerait légèrement (+1,0 %), par rapport à une année marquée par la réforme ratée de MaPrimeRénov’. Côté emploi, nous retenons l’hypothèse d’un décrochage massif de près de 7,5 %, l’écart constaté depuis 2023 entre activité et emploi n’étant pas durablement tenable. Environ 100 000 emplois-salariés et intérimaires ETP- seraient ainsi menacés dans le bâtiment en 2025.</w:t>
            </w:r>
          </w:p>
          <w:p w14:paraId="4AA25290" w14:textId="76738EC1" w:rsidR="00A95670" w:rsidRPr="006914B0" w:rsidRDefault="00D22BE6" w:rsidP="00F77E6A">
            <w:pPr>
              <w:pBdr>
                <w:top w:val="single" w:sz="2" w:space="1" w:color="auto"/>
                <w:left w:val="single" w:sz="2" w:space="4" w:color="auto"/>
                <w:bottom w:val="single" w:sz="2" w:space="1" w:color="auto"/>
                <w:right w:val="single" w:sz="2" w:space="4" w:color="auto"/>
              </w:pBdr>
              <w:spacing w:line="312" w:lineRule="auto"/>
              <w:jc w:val="both"/>
              <w:rPr>
                <w:rFonts w:ascii="Arial" w:hAnsi="Arial" w:cs="Arial"/>
                <w:b/>
              </w:rPr>
            </w:pPr>
            <w:r w:rsidRPr="00D22BE6">
              <w:rPr>
                <w:rFonts w:ascii="Arial" w:hAnsi="Arial" w:cs="Arial"/>
                <w:b/>
              </w:rPr>
              <w:t>Ces</w:t>
            </w:r>
            <w:r w:rsidR="00F77E6A" w:rsidRPr="00D22BE6">
              <w:rPr>
                <w:rFonts w:ascii="Arial" w:hAnsi="Arial" w:cs="Arial"/>
                <w:b/>
              </w:rPr>
              <w:t xml:space="preserve"> prévisions s’inscrivent </w:t>
            </w:r>
            <w:r w:rsidRPr="00D22BE6">
              <w:rPr>
                <w:rFonts w:ascii="Arial" w:hAnsi="Arial" w:cs="Arial"/>
                <w:b/>
              </w:rPr>
              <w:t xml:space="preserve">toutefois </w:t>
            </w:r>
            <w:r w:rsidR="00F77E6A" w:rsidRPr="00D22BE6">
              <w:rPr>
                <w:rFonts w:ascii="Arial" w:hAnsi="Arial" w:cs="Arial"/>
                <w:b/>
              </w:rPr>
              <w:t xml:space="preserve">dans un contexte particulier </w:t>
            </w:r>
            <w:r w:rsidRPr="00D22BE6">
              <w:rPr>
                <w:rFonts w:ascii="Arial" w:hAnsi="Arial" w:cs="Arial"/>
                <w:b/>
              </w:rPr>
              <w:t>d’absence</w:t>
            </w:r>
            <w:r w:rsidR="00F77E6A" w:rsidRPr="00D22BE6">
              <w:rPr>
                <w:rFonts w:ascii="Arial" w:hAnsi="Arial" w:cs="Arial"/>
                <w:b/>
              </w:rPr>
              <w:t xml:space="preserve"> de PLF pour 2025. Elles </w:t>
            </w:r>
            <w:r w:rsidRPr="00D22BE6">
              <w:rPr>
                <w:rFonts w:ascii="Arial" w:hAnsi="Arial" w:cs="Arial"/>
                <w:b/>
              </w:rPr>
              <w:t>seront</w:t>
            </w:r>
            <w:r w:rsidR="00F77E6A" w:rsidRPr="00D22BE6">
              <w:rPr>
                <w:rFonts w:ascii="Arial" w:hAnsi="Arial" w:cs="Arial"/>
                <w:b/>
              </w:rPr>
              <w:t xml:space="preserve"> révisées </w:t>
            </w:r>
            <w:r w:rsidRPr="00D22BE6">
              <w:rPr>
                <w:rFonts w:ascii="Arial" w:hAnsi="Arial" w:cs="Arial"/>
                <w:b/>
              </w:rPr>
              <w:t>dès qu’une loi de finances sera adoptée, surtout si</w:t>
            </w:r>
            <w:r w:rsidR="00F77E6A" w:rsidRPr="00D22BE6">
              <w:rPr>
                <w:rFonts w:ascii="Arial" w:hAnsi="Arial" w:cs="Arial"/>
                <w:b/>
              </w:rPr>
              <w:t xml:space="preserve"> certaines mesures favorables au logement (PTZ dans le neuf ouvert à tous les segments sur l’ensemble du territoire, remplacement du « Pinel », réduction plafonnée de la RLS, budget rehaussé de MaPrimeRénov’) </w:t>
            </w:r>
            <w:r w:rsidRPr="00D22BE6">
              <w:rPr>
                <w:rFonts w:ascii="Arial" w:hAnsi="Arial" w:cs="Arial"/>
                <w:b/>
              </w:rPr>
              <w:t>se trouvaient à nouveau retenues</w:t>
            </w:r>
            <w:r w:rsidR="00A95670" w:rsidRPr="00D22BE6">
              <w:rPr>
                <w:rFonts w:ascii="Arial" w:hAnsi="Arial" w:cs="Arial"/>
                <w:b/>
              </w:rPr>
              <w:t>.</w:t>
            </w:r>
          </w:p>
        </w:tc>
      </w:tr>
    </w:tbl>
    <w:p w14:paraId="615EF5DC" w14:textId="6E8AD678" w:rsidR="00F77E6A" w:rsidRPr="0082255A" w:rsidRDefault="00F77E6A" w:rsidP="00B033B6">
      <w:pPr>
        <w:spacing w:before="480" w:after="120" w:line="360" w:lineRule="auto"/>
        <w:rPr>
          <w:rFonts w:ascii="Arial" w:hAnsi="Arial" w:cs="Arial"/>
          <w:b/>
          <w:sz w:val="28"/>
          <w:szCs w:val="28"/>
          <w:u w:val="single"/>
        </w:rPr>
      </w:pPr>
      <w:bookmarkStart w:id="0" w:name="_Hlk184827910"/>
      <w:r>
        <w:rPr>
          <w:rFonts w:ascii="Arial" w:hAnsi="Arial" w:cs="Arial"/>
          <w:b/>
          <w:sz w:val="28"/>
          <w:szCs w:val="28"/>
          <w:u w:val="single"/>
        </w:rPr>
        <w:lastRenderedPageBreak/>
        <w:t xml:space="preserve">1. </w:t>
      </w:r>
      <w:r w:rsidRPr="0082255A">
        <w:rPr>
          <w:rFonts w:ascii="Arial" w:hAnsi="Arial" w:cs="Arial"/>
          <w:b/>
          <w:sz w:val="28"/>
          <w:szCs w:val="28"/>
          <w:u w:val="single"/>
        </w:rPr>
        <w:t>Bilan 2024</w:t>
      </w:r>
    </w:p>
    <w:p w14:paraId="130AD0AA" w14:textId="77777777" w:rsidR="00F77E6A" w:rsidRPr="001D3884" w:rsidRDefault="00F77E6A" w:rsidP="00296E15">
      <w:pPr>
        <w:spacing w:before="360" w:after="120" w:line="360" w:lineRule="auto"/>
        <w:rPr>
          <w:rFonts w:ascii="Arial" w:hAnsi="Arial" w:cs="Arial"/>
          <w:u w:val="single"/>
        </w:rPr>
      </w:pPr>
      <w:r>
        <w:rPr>
          <w:rFonts w:ascii="Arial" w:hAnsi="Arial" w:cs="Arial"/>
          <w:u w:val="single"/>
        </w:rPr>
        <w:t xml:space="preserve">1.1 </w:t>
      </w:r>
      <w:r w:rsidRPr="0082255A">
        <w:rPr>
          <w:rFonts w:ascii="Arial" w:hAnsi="Arial" w:cs="Arial"/>
          <w:u w:val="single"/>
        </w:rPr>
        <w:t xml:space="preserve">Le contexte </w:t>
      </w:r>
    </w:p>
    <w:p w14:paraId="20F3D823" w14:textId="77777777" w:rsidR="00F77E6A" w:rsidRPr="006B1D38" w:rsidRDefault="00F77E6A" w:rsidP="00F77E6A">
      <w:pPr>
        <w:spacing w:after="120" w:line="360" w:lineRule="auto"/>
        <w:jc w:val="both"/>
        <w:rPr>
          <w:rFonts w:ascii="Arial" w:eastAsia="Calibri" w:hAnsi="Arial" w:cs="Arial"/>
        </w:rPr>
      </w:pPr>
      <w:r w:rsidRPr="006B1D38">
        <w:rPr>
          <w:rFonts w:ascii="Arial" w:eastAsia="Calibri" w:hAnsi="Arial" w:cs="Arial"/>
        </w:rPr>
        <w:t xml:space="preserve">L’année 2024 se </w:t>
      </w:r>
      <w:r>
        <w:rPr>
          <w:rFonts w:ascii="Arial" w:eastAsia="Calibri" w:hAnsi="Arial" w:cs="Arial"/>
        </w:rPr>
        <w:t>solde sur</w:t>
      </w:r>
      <w:r w:rsidRPr="006B1D38">
        <w:rPr>
          <w:rFonts w:ascii="Arial" w:eastAsia="Calibri" w:hAnsi="Arial" w:cs="Arial"/>
        </w:rPr>
        <w:t xml:space="preserve"> une croissance modérée du PIB à +1 %, quasiment </w:t>
      </w:r>
      <w:r>
        <w:rPr>
          <w:rFonts w:ascii="Arial" w:eastAsia="Calibri" w:hAnsi="Arial" w:cs="Arial"/>
        </w:rPr>
        <w:t>au même rythme qu’</w:t>
      </w:r>
      <w:r w:rsidRPr="006B1D38">
        <w:rPr>
          <w:rFonts w:ascii="Arial" w:eastAsia="Calibri" w:hAnsi="Arial" w:cs="Arial"/>
        </w:rPr>
        <w:t>en 2023</w:t>
      </w:r>
      <w:r>
        <w:rPr>
          <w:rFonts w:ascii="Arial" w:eastAsia="Calibri" w:hAnsi="Arial" w:cs="Arial"/>
        </w:rPr>
        <w:t xml:space="preserve"> (+0,9 %, cf. graphique 1)</w:t>
      </w:r>
      <w:r w:rsidRPr="006B1D38">
        <w:rPr>
          <w:rFonts w:ascii="Arial" w:eastAsia="Calibri" w:hAnsi="Arial" w:cs="Arial"/>
        </w:rPr>
        <w:t xml:space="preserve">. </w:t>
      </w:r>
    </w:p>
    <w:p w14:paraId="45B76A0A" w14:textId="77777777" w:rsidR="00F77E6A" w:rsidRPr="00A95260" w:rsidRDefault="00F77E6A" w:rsidP="00F77E6A">
      <w:pPr>
        <w:spacing w:after="0" w:line="360" w:lineRule="auto"/>
        <w:jc w:val="center"/>
        <w:rPr>
          <w:rFonts w:ascii="Arial" w:hAnsi="Arial" w:cs="Arial"/>
        </w:rPr>
      </w:pPr>
      <w:r w:rsidRPr="00A95260">
        <w:rPr>
          <w:rFonts w:ascii="Arial" w:hAnsi="Arial" w:cs="Arial"/>
        </w:rPr>
        <w:t xml:space="preserve">Graphique 1 – </w:t>
      </w:r>
      <w:r w:rsidRPr="00A95260">
        <w:rPr>
          <w:rFonts w:ascii="Arial" w:hAnsi="Arial" w:cs="Arial"/>
          <w:b/>
          <w:bCs/>
        </w:rPr>
        <w:t>Le PIB et ses composantes</w:t>
      </w:r>
    </w:p>
    <w:p w14:paraId="286BEBBC" w14:textId="46A634FE" w:rsidR="00F77E6A" w:rsidRPr="00522BD1" w:rsidRDefault="00E360B9" w:rsidP="00F77E6A">
      <w:pPr>
        <w:spacing w:after="120" w:line="360" w:lineRule="auto"/>
        <w:jc w:val="center"/>
        <w:rPr>
          <w:rFonts w:ascii="Arial" w:hAnsi="Arial" w:cs="Arial"/>
          <w:i/>
          <w:sz w:val="20"/>
        </w:rPr>
      </w:pPr>
      <w:r w:rsidRPr="00E360B9">
        <w:rPr>
          <w:rFonts w:ascii="Arial" w:hAnsi="Arial" w:cs="Arial"/>
          <w:i/>
          <w:noProof/>
          <w:sz w:val="20"/>
        </w:rPr>
        <w:drawing>
          <wp:inline distT="0" distB="0" distL="0" distR="0" wp14:anchorId="7FEBDBF7" wp14:editId="7ADFBDF2">
            <wp:extent cx="5760720" cy="3064510"/>
            <wp:effectExtent l="0" t="0" r="0" b="2540"/>
            <wp:docPr id="2275771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064510"/>
                    </a:xfrm>
                    <a:prstGeom prst="rect">
                      <a:avLst/>
                    </a:prstGeom>
                    <a:noFill/>
                    <a:ln>
                      <a:noFill/>
                    </a:ln>
                  </pic:spPr>
                </pic:pic>
              </a:graphicData>
            </a:graphic>
          </wp:inline>
        </w:drawing>
      </w:r>
      <w:r w:rsidR="00F77E6A" w:rsidRPr="00522BD1">
        <w:rPr>
          <w:rFonts w:ascii="Arial" w:hAnsi="Arial" w:cs="Arial"/>
          <w:i/>
          <w:sz w:val="20"/>
        </w:rPr>
        <w:t>Source : FFB à partir de l’Insee</w:t>
      </w:r>
    </w:p>
    <w:p w14:paraId="4F3F4691" w14:textId="65A3DF10" w:rsidR="00F77E6A" w:rsidRPr="006B1D38" w:rsidRDefault="00F77E6A" w:rsidP="00F77E6A">
      <w:pPr>
        <w:spacing w:after="120" w:line="360" w:lineRule="auto"/>
        <w:jc w:val="both"/>
        <w:rPr>
          <w:rFonts w:ascii="Arial" w:eastAsia="Calibri" w:hAnsi="Arial" w:cs="Arial"/>
        </w:rPr>
      </w:pPr>
      <w:bookmarkStart w:id="1" w:name="_Hlk184891230"/>
      <w:r>
        <w:rPr>
          <w:rFonts w:ascii="Arial" w:eastAsia="Calibri" w:hAnsi="Arial" w:cs="Arial"/>
        </w:rPr>
        <w:t>En détail, le PIB</w:t>
      </w:r>
      <w:r w:rsidRPr="006B1D38">
        <w:rPr>
          <w:rFonts w:ascii="Arial" w:eastAsia="Calibri" w:hAnsi="Arial" w:cs="Arial"/>
        </w:rPr>
        <w:t xml:space="preserve"> </w:t>
      </w:r>
      <w:r>
        <w:rPr>
          <w:rFonts w:ascii="Arial" w:eastAsia="Calibri" w:hAnsi="Arial" w:cs="Arial"/>
        </w:rPr>
        <w:t>s’avère porté par le solde positif du commerce extérieur, avec des exportations en hausse de 1,9 % alors que les importations se replient de 1,5 %, une hausse de la dépense des administrations publiques (+1,4 %) comme, dans une moindre mesure, des ménages (+0,6 %)</w:t>
      </w:r>
      <w:r w:rsidRPr="006B1D38">
        <w:rPr>
          <w:rFonts w:ascii="Arial" w:eastAsia="Calibri" w:hAnsi="Arial" w:cs="Arial"/>
        </w:rPr>
        <w:t>.</w:t>
      </w:r>
      <w:r>
        <w:rPr>
          <w:rFonts w:ascii="Arial" w:eastAsia="Calibri" w:hAnsi="Arial" w:cs="Arial"/>
        </w:rPr>
        <w:t xml:space="preserve"> En revanche, il ressort pénalisé par l’investissement, du fait largement de ces mêmes ménages (-7,</w:t>
      </w:r>
      <w:r w:rsidR="004E7159">
        <w:rPr>
          <w:rFonts w:ascii="Arial" w:eastAsia="Calibri" w:hAnsi="Arial" w:cs="Arial"/>
        </w:rPr>
        <w:t>8</w:t>
      </w:r>
      <w:r>
        <w:rPr>
          <w:rFonts w:ascii="Arial" w:eastAsia="Calibri" w:hAnsi="Arial" w:cs="Arial"/>
        </w:rPr>
        <w:t xml:space="preserve"> %, après déjà -8,5 % en 2023) puis des entreprises non financières qui ont commencé à décrocher </w:t>
      </w:r>
      <w:r w:rsidRPr="006B1D38">
        <w:rPr>
          <w:rFonts w:ascii="Arial" w:eastAsia="Calibri" w:hAnsi="Arial" w:cs="Arial"/>
        </w:rPr>
        <w:t>(</w:t>
      </w:r>
      <w:r>
        <w:rPr>
          <w:rFonts w:ascii="Arial" w:eastAsia="Calibri" w:hAnsi="Arial" w:cs="Arial"/>
        </w:rPr>
        <w:t>-1,4</w:t>
      </w:r>
      <w:r w:rsidRPr="006B1D38">
        <w:rPr>
          <w:rFonts w:ascii="Arial" w:eastAsia="Calibri" w:hAnsi="Arial" w:cs="Arial"/>
        </w:rPr>
        <w:t> %)</w:t>
      </w:r>
      <w:r>
        <w:rPr>
          <w:rFonts w:ascii="Arial" w:eastAsia="Calibri" w:hAnsi="Arial" w:cs="Arial"/>
        </w:rPr>
        <w:t xml:space="preserve">. Seules les administrations publiques affichent toujours une dynamique positive </w:t>
      </w:r>
      <w:r w:rsidRPr="006B1D38">
        <w:rPr>
          <w:rFonts w:ascii="Arial" w:eastAsia="Calibri" w:hAnsi="Arial" w:cs="Arial"/>
        </w:rPr>
        <w:t>(+2,</w:t>
      </w:r>
      <w:r>
        <w:rPr>
          <w:rFonts w:ascii="Arial" w:eastAsia="Calibri" w:hAnsi="Arial" w:cs="Arial"/>
        </w:rPr>
        <w:t>1</w:t>
      </w:r>
      <w:r w:rsidRPr="006B1D38">
        <w:rPr>
          <w:rFonts w:ascii="Arial" w:eastAsia="Calibri" w:hAnsi="Arial" w:cs="Arial"/>
        </w:rPr>
        <w:t> %)</w:t>
      </w:r>
      <w:r>
        <w:rPr>
          <w:rFonts w:ascii="Arial" w:eastAsia="Calibri" w:hAnsi="Arial" w:cs="Arial"/>
        </w:rPr>
        <w:t xml:space="preserve">. </w:t>
      </w:r>
    </w:p>
    <w:bookmarkEnd w:id="1"/>
    <w:p w14:paraId="4982F627" w14:textId="77777777" w:rsidR="00F77E6A" w:rsidRPr="00B724B9" w:rsidRDefault="00F77E6A" w:rsidP="00F77E6A">
      <w:pPr>
        <w:spacing w:after="120" w:line="360" w:lineRule="auto"/>
        <w:jc w:val="both"/>
        <w:rPr>
          <w:rFonts w:ascii="Arial" w:eastAsia="Calibri" w:hAnsi="Arial" w:cs="Arial"/>
        </w:rPr>
      </w:pPr>
      <w:r>
        <w:rPr>
          <w:rFonts w:ascii="Arial" w:eastAsia="Calibri" w:hAnsi="Arial" w:cs="Arial"/>
        </w:rPr>
        <w:t xml:space="preserve">Par ailleurs, </w:t>
      </w:r>
      <w:r w:rsidRPr="000F301C">
        <w:rPr>
          <w:rFonts w:ascii="Arial" w:eastAsia="Calibri" w:hAnsi="Arial" w:cs="Arial"/>
        </w:rPr>
        <w:t>l’inflation</w:t>
      </w:r>
      <w:r>
        <w:rPr>
          <w:rFonts w:ascii="Arial" w:eastAsia="Calibri" w:hAnsi="Arial" w:cs="Arial"/>
        </w:rPr>
        <w:t xml:space="preserve"> a nettement ralenti en 2024, tombant aux environs de </w:t>
      </w:r>
      <w:r w:rsidRPr="000F301C">
        <w:rPr>
          <w:rFonts w:ascii="Arial" w:eastAsia="Calibri" w:hAnsi="Arial" w:cs="Arial"/>
        </w:rPr>
        <w:t>2</w:t>
      </w:r>
      <w:r>
        <w:rPr>
          <w:rFonts w:ascii="Arial" w:eastAsia="Calibri" w:hAnsi="Arial" w:cs="Arial"/>
        </w:rPr>
        <w:t> </w:t>
      </w:r>
      <w:r w:rsidRPr="000F301C">
        <w:rPr>
          <w:rFonts w:ascii="Arial" w:eastAsia="Calibri" w:hAnsi="Arial" w:cs="Arial"/>
        </w:rPr>
        <w:t>%</w:t>
      </w:r>
      <w:r>
        <w:rPr>
          <w:rFonts w:ascii="Arial" w:eastAsia="Calibri" w:hAnsi="Arial" w:cs="Arial"/>
        </w:rPr>
        <w:t xml:space="preserve"> en moyenne annuelle (cf. graphique 2), après les pics de 2022 (5,2 %) et 2023 (4,9 %)</w:t>
      </w:r>
      <w:r w:rsidRPr="000F301C">
        <w:rPr>
          <w:rFonts w:ascii="Arial" w:eastAsia="Calibri" w:hAnsi="Arial" w:cs="Arial"/>
        </w:rPr>
        <w:t>.</w:t>
      </w:r>
      <w:r>
        <w:rPr>
          <w:rFonts w:ascii="Arial" w:eastAsia="Calibri" w:hAnsi="Arial" w:cs="Arial"/>
        </w:rPr>
        <w:t xml:space="preserve"> Le tassement s’est même encore accentué à l’automne pour se lire entre 1,1 % et 1,3 % l’an de septembre à novembre.</w:t>
      </w:r>
    </w:p>
    <w:p w14:paraId="402A08F7" w14:textId="77777777" w:rsidR="00F77E6A" w:rsidRDefault="00F77E6A" w:rsidP="00F77E6A">
      <w:pPr>
        <w:rPr>
          <w:rFonts w:ascii="Arial" w:eastAsia="Calibri" w:hAnsi="Arial" w:cs="Arial"/>
        </w:rPr>
      </w:pPr>
      <w:r>
        <w:rPr>
          <w:rFonts w:ascii="Arial" w:eastAsia="Calibri" w:hAnsi="Arial" w:cs="Arial"/>
        </w:rPr>
        <w:br w:type="page"/>
      </w:r>
    </w:p>
    <w:p w14:paraId="27A6BA8F" w14:textId="77777777" w:rsidR="00F77E6A" w:rsidRPr="00B724B9" w:rsidRDefault="00F77E6A" w:rsidP="00F77E6A">
      <w:pPr>
        <w:spacing w:after="0" w:line="360" w:lineRule="auto"/>
        <w:jc w:val="center"/>
        <w:rPr>
          <w:rFonts w:ascii="Arial" w:hAnsi="Arial" w:cs="Arial"/>
        </w:rPr>
      </w:pPr>
      <w:r w:rsidRPr="00B724B9">
        <w:rPr>
          <w:rFonts w:ascii="Arial" w:hAnsi="Arial" w:cs="Arial"/>
        </w:rPr>
        <w:lastRenderedPageBreak/>
        <w:t xml:space="preserve">Graphique 2 – </w:t>
      </w:r>
      <w:r w:rsidRPr="00B724B9">
        <w:rPr>
          <w:rFonts w:ascii="Arial" w:hAnsi="Arial" w:cs="Arial"/>
          <w:b/>
          <w:bCs/>
        </w:rPr>
        <w:t>Taux d’inflation</w:t>
      </w:r>
    </w:p>
    <w:p w14:paraId="424FB6B9" w14:textId="008F916F" w:rsidR="00F77E6A" w:rsidRPr="00B724B9" w:rsidRDefault="004E7159" w:rsidP="00F77E6A">
      <w:pPr>
        <w:spacing w:after="0" w:line="360" w:lineRule="auto"/>
        <w:jc w:val="center"/>
        <w:rPr>
          <w:rFonts w:ascii="Arial" w:hAnsi="Arial" w:cs="Arial"/>
        </w:rPr>
      </w:pPr>
      <w:r w:rsidRPr="004E7159">
        <w:rPr>
          <w:rFonts w:ascii="Arial" w:hAnsi="Arial" w:cs="Arial"/>
          <w:noProof/>
        </w:rPr>
        <w:drawing>
          <wp:inline distT="0" distB="0" distL="0" distR="0" wp14:anchorId="32DD8195" wp14:editId="1C40DFBF">
            <wp:extent cx="5760720" cy="3082290"/>
            <wp:effectExtent l="0" t="0" r="0" b="3810"/>
            <wp:docPr id="11431896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082290"/>
                    </a:xfrm>
                    <a:prstGeom prst="rect">
                      <a:avLst/>
                    </a:prstGeom>
                    <a:noFill/>
                    <a:ln>
                      <a:noFill/>
                    </a:ln>
                  </pic:spPr>
                </pic:pic>
              </a:graphicData>
            </a:graphic>
          </wp:inline>
        </w:drawing>
      </w:r>
    </w:p>
    <w:p w14:paraId="0721A895" w14:textId="77777777" w:rsidR="00F77E6A" w:rsidRPr="00B724B9" w:rsidRDefault="00F77E6A" w:rsidP="00F77E6A">
      <w:pPr>
        <w:spacing w:line="312" w:lineRule="auto"/>
        <w:jc w:val="center"/>
        <w:rPr>
          <w:rFonts w:ascii="Arial" w:hAnsi="Arial" w:cs="Arial"/>
          <w:i/>
          <w:iCs/>
          <w:sz w:val="20"/>
          <w:szCs w:val="20"/>
        </w:rPr>
      </w:pPr>
      <w:r w:rsidRPr="00B724B9">
        <w:rPr>
          <w:rFonts w:ascii="Arial" w:hAnsi="Arial" w:cs="Arial"/>
          <w:i/>
          <w:iCs/>
          <w:sz w:val="20"/>
          <w:szCs w:val="20"/>
        </w:rPr>
        <w:t>Source : Insee</w:t>
      </w:r>
    </w:p>
    <w:p w14:paraId="314D19A5" w14:textId="33E5B7C1" w:rsidR="00F77E6A" w:rsidRPr="00B327F6" w:rsidRDefault="00F77E6A" w:rsidP="00F77E6A">
      <w:pPr>
        <w:spacing w:after="120" w:line="360" w:lineRule="auto"/>
        <w:jc w:val="both"/>
        <w:rPr>
          <w:rFonts w:ascii="Arial" w:eastAsia="Calibri" w:hAnsi="Arial" w:cs="Arial"/>
        </w:rPr>
      </w:pPr>
      <w:bookmarkStart w:id="2" w:name="_Hlk184116971"/>
      <w:r>
        <w:rPr>
          <w:rFonts w:ascii="Arial" w:eastAsia="Calibri" w:hAnsi="Arial" w:cs="Arial"/>
        </w:rPr>
        <w:t xml:space="preserve">La cible d’inflation (2 %) ayant été atteinte dans l’ensemble de l’Union européenne, la Banque centrale européenne (BCE) </w:t>
      </w:r>
      <w:r w:rsidRPr="00B327F6">
        <w:rPr>
          <w:rFonts w:ascii="Arial" w:eastAsia="Calibri" w:hAnsi="Arial" w:cs="Arial"/>
        </w:rPr>
        <w:t xml:space="preserve">a </w:t>
      </w:r>
      <w:r w:rsidDel="004D5246">
        <w:rPr>
          <w:rFonts w:ascii="Arial" w:eastAsia="Calibri" w:hAnsi="Arial" w:cs="Arial"/>
        </w:rPr>
        <w:t>progressivement</w:t>
      </w:r>
      <w:r>
        <w:rPr>
          <w:rFonts w:ascii="Arial" w:eastAsia="Calibri" w:hAnsi="Arial" w:cs="Arial"/>
        </w:rPr>
        <w:t xml:space="preserve"> </w:t>
      </w:r>
      <w:r w:rsidRPr="00B327F6">
        <w:rPr>
          <w:rFonts w:ascii="Arial" w:eastAsia="Calibri" w:hAnsi="Arial" w:cs="Arial"/>
        </w:rPr>
        <w:t>abaiss</w:t>
      </w:r>
      <w:r>
        <w:rPr>
          <w:rFonts w:ascii="Arial" w:eastAsia="Calibri" w:hAnsi="Arial" w:cs="Arial"/>
        </w:rPr>
        <w:t xml:space="preserve">é </w:t>
      </w:r>
      <w:r w:rsidRPr="00B327F6">
        <w:rPr>
          <w:rFonts w:ascii="Arial" w:eastAsia="Calibri" w:hAnsi="Arial" w:cs="Arial"/>
        </w:rPr>
        <w:t xml:space="preserve">ses taux directeurs </w:t>
      </w:r>
      <w:r>
        <w:rPr>
          <w:rFonts w:ascii="Arial" w:eastAsia="Calibri" w:hAnsi="Arial" w:cs="Arial"/>
        </w:rPr>
        <w:t>à partir de la fin du printemps (cf. graphique 3)</w:t>
      </w:r>
      <w:r w:rsidRPr="00B327F6">
        <w:rPr>
          <w:rFonts w:ascii="Arial" w:eastAsia="Calibri" w:hAnsi="Arial" w:cs="Arial"/>
        </w:rPr>
        <w:t xml:space="preserve">. </w:t>
      </w:r>
      <w:r>
        <w:rPr>
          <w:rFonts w:ascii="Arial" w:eastAsia="Calibri" w:hAnsi="Arial" w:cs="Arial"/>
        </w:rPr>
        <w:t>Ainsi, l</w:t>
      </w:r>
      <w:r w:rsidRPr="00B327F6">
        <w:rPr>
          <w:rFonts w:ascii="Arial" w:eastAsia="Calibri" w:hAnsi="Arial" w:cs="Arial"/>
        </w:rPr>
        <w:t xml:space="preserve">e taux </w:t>
      </w:r>
      <w:r>
        <w:rPr>
          <w:rFonts w:ascii="Arial" w:eastAsia="Calibri" w:hAnsi="Arial" w:cs="Arial"/>
        </w:rPr>
        <w:t xml:space="preserve">principal </w:t>
      </w:r>
      <w:r w:rsidRPr="00B327F6">
        <w:rPr>
          <w:rFonts w:ascii="Arial" w:eastAsia="Calibri" w:hAnsi="Arial" w:cs="Arial"/>
        </w:rPr>
        <w:t xml:space="preserve">de refinancement s’affiche à </w:t>
      </w:r>
      <w:r>
        <w:rPr>
          <w:rFonts w:ascii="Arial" w:eastAsia="Calibri" w:hAnsi="Arial" w:cs="Arial"/>
        </w:rPr>
        <w:t>3</w:t>
      </w:r>
      <w:r w:rsidRPr="00B327F6">
        <w:rPr>
          <w:rFonts w:ascii="Arial" w:eastAsia="Calibri" w:hAnsi="Arial" w:cs="Arial"/>
        </w:rPr>
        <w:t>,</w:t>
      </w:r>
      <w:r w:rsidR="006D36C2">
        <w:rPr>
          <w:rFonts w:ascii="Arial" w:eastAsia="Calibri" w:hAnsi="Arial" w:cs="Arial"/>
        </w:rPr>
        <w:t>15</w:t>
      </w:r>
      <w:r w:rsidRPr="00B327F6">
        <w:rPr>
          <w:rFonts w:ascii="Arial" w:eastAsia="Calibri" w:hAnsi="Arial" w:cs="Arial"/>
        </w:rPr>
        <w:t xml:space="preserve"> % </w:t>
      </w:r>
      <w:r>
        <w:rPr>
          <w:rFonts w:ascii="Arial" w:eastAsia="Calibri" w:hAnsi="Arial" w:cs="Arial"/>
        </w:rPr>
        <w:t>fin</w:t>
      </w:r>
      <w:r w:rsidRPr="00B327F6">
        <w:rPr>
          <w:rFonts w:ascii="Arial" w:eastAsia="Calibri" w:hAnsi="Arial" w:cs="Arial"/>
        </w:rPr>
        <w:t xml:space="preserve"> 2024, </w:t>
      </w:r>
      <w:r>
        <w:rPr>
          <w:rFonts w:ascii="Arial" w:eastAsia="Calibri" w:hAnsi="Arial" w:cs="Arial"/>
        </w:rPr>
        <w:t xml:space="preserve">contre 4,50 % un an plus tôt. Toutefois, </w:t>
      </w:r>
      <w:r w:rsidRPr="00B327F6">
        <w:rPr>
          <w:rFonts w:ascii="Arial" w:eastAsia="Calibri" w:hAnsi="Arial" w:cs="Arial"/>
        </w:rPr>
        <w:t xml:space="preserve">le </w:t>
      </w:r>
      <w:bookmarkEnd w:id="2"/>
      <w:r w:rsidRPr="00B724B9">
        <w:rPr>
          <w:rFonts w:ascii="Arial" w:hAnsi="Arial" w:cs="Arial"/>
        </w:rPr>
        <w:t xml:space="preserve">taux de l’emprunt phare à dix ans </w:t>
      </w:r>
      <w:r>
        <w:rPr>
          <w:rFonts w:ascii="Arial" w:hAnsi="Arial" w:cs="Arial"/>
        </w:rPr>
        <w:t>en France n’a pas vraiment bénéficié de cette décrue, la deuxième partie d’année ayant été marquée par une instabilité politique pénalisante</w:t>
      </w:r>
      <w:r w:rsidRPr="00B327F6">
        <w:rPr>
          <w:rFonts w:ascii="Arial" w:eastAsia="Calibri" w:hAnsi="Arial" w:cs="Arial"/>
        </w:rPr>
        <w:t>.</w:t>
      </w:r>
    </w:p>
    <w:p w14:paraId="75DDADA6" w14:textId="77777777" w:rsidR="00F77E6A" w:rsidRPr="00B724B9" w:rsidRDefault="00F77E6A" w:rsidP="00F77E6A">
      <w:pPr>
        <w:spacing w:after="0" w:line="360" w:lineRule="auto"/>
        <w:jc w:val="center"/>
        <w:rPr>
          <w:rFonts w:ascii="Arial" w:hAnsi="Arial" w:cs="Arial"/>
        </w:rPr>
      </w:pPr>
      <w:r w:rsidRPr="00B724B9">
        <w:rPr>
          <w:rFonts w:ascii="Arial" w:hAnsi="Arial" w:cs="Arial"/>
        </w:rPr>
        <w:t xml:space="preserve">Graphique 3 – </w:t>
      </w:r>
      <w:r w:rsidRPr="00B724B9">
        <w:rPr>
          <w:rFonts w:ascii="Arial" w:hAnsi="Arial" w:cs="Arial"/>
          <w:b/>
          <w:bCs/>
        </w:rPr>
        <w:t>Taux d’intérêt</w:t>
      </w:r>
    </w:p>
    <w:p w14:paraId="545BA9EC" w14:textId="20E90902" w:rsidR="00F77E6A" w:rsidRPr="00B724B9" w:rsidRDefault="008D2BFB" w:rsidP="00F77E6A">
      <w:pPr>
        <w:spacing w:after="0" w:line="360" w:lineRule="auto"/>
        <w:jc w:val="center"/>
        <w:rPr>
          <w:rFonts w:ascii="Arial" w:hAnsi="Arial" w:cs="Arial"/>
        </w:rPr>
      </w:pPr>
      <w:r w:rsidRPr="008D2BFB">
        <w:rPr>
          <w:rFonts w:ascii="Arial" w:hAnsi="Arial" w:cs="Arial"/>
          <w:noProof/>
        </w:rPr>
        <w:drawing>
          <wp:inline distT="0" distB="0" distL="0" distR="0" wp14:anchorId="60FCE3B5" wp14:editId="24CB22A0">
            <wp:extent cx="5760720" cy="3091815"/>
            <wp:effectExtent l="0" t="0" r="0" b="0"/>
            <wp:docPr id="6590863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091815"/>
                    </a:xfrm>
                    <a:prstGeom prst="rect">
                      <a:avLst/>
                    </a:prstGeom>
                    <a:noFill/>
                    <a:ln>
                      <a:noFill/>
                    </a:ln>
                  </pic:spPr>
                </pic:pic>
              </a:graphicData>
            </a:graphic>
          </wp:inline>
        </w:drawing>
      </w:r>
    </w:p>
    <w:p w14:paraId="5B929CDF" w14:textId="77777777" w:rsidR="00F77E6A" w:rsidRPr="00B724B9" w:rsidRDefault="00F77E6A" w:rsidP="00F77E6A">
      <w:pPr>
        <w:spacing w:line="312" w:lineRule="auto"/>
        <w:jc w:val="center"/>
        <w:rPr>
          <w:rFonts w:ascii="Arial" w:hAnsi="Arial" w:cs="Arial"/>
          <w:i/>
          <w:iCs/>
          <w:sz w:val="20"/>
          <w:szCs w:val="20"/>
        </w:rPr>
      </w:pPr>
      <w:r w:rsidRPr="00B724B9">
        <w:rPr>
          <w:rFonts w:ascii="Arial" w:hAnsi="Arial" w:cs="Arial"/>
          <w:i/>
          <w:iCs/>
          <w:sz w:val="20"/>
          <w:szCs w:val="20"/>
        </w:rPr>
        <w:t>Source : Banque centrale européenne, Banque de France</w:t>
      </w:r>
    </w:p>
    <w:p w14:paraId="2299048F" w14:textId="77777777" w:rsidR="00F77E6A" w:rsidRDefault="00F77E6A" w:rsidP="00F77E6A">
      <w:pPr>
        <w:spacing w:after="120" w:line="360" w:lineRule="auto"/>
        <w:jc w:val="both"/>
        <w:rPr>
          <w:rFonts w:ascii="Arial" w:hAnsi="Arial" w:cs="Arial"/>
        </w:rPr>
      </w:pPr>
      <w:r>
        <w:rPr>
          <w:rFonts w:ascii="Arial" w:hAnsi="Arial" w:cs="Arial"/>
        </w:rPr>
        <w:lastRenderedPageBreak/>
        <w:t xml:space="preserve">Pour autant, tout au long de l’année 2024, les conditions de crédit immobilier se sont régulièrement et progressivement améliorées. Ainsi, en moyenne, </w:t>
      </w:r>
      <w:r w:rsidRPr="00EF6C68">
        <w:rPr>
          <w:rFonts w:ascii="Arial" w:hAnsi="Arial" w:cs="Arial"/>
        </w:rPr>
        <w:t>hors coût des assurances et des sûretés</w:t>
      </w:r>
      <w:r>
        <w:rPr>
          <w:rFonts w:ascii="Arial" w:hAnsi="Arial" w:cs="Arial"/>
        </w:rPr>
        <w:t>,</w:t>
      </w:r>
      <w:r w:rsidRPr="00EF6C68">
        <w:rPr>
          <w:rFonts w:ascii="Arial" w:hAnsi="Arial" w:cs="Arial"/>
        </w:rPr>
        <w:t xml:space="preserve"> </w:t>
      </w:r>
      <w:r>
        <w:rPr>
          <w:rFonts w:ascii="Arial" w:hAnsi="Arial" w:cs="Arial"/>
        </w:rPr>
        <w:t>les taux de ces crédits ont reculé d’environ 75 points de base en une année pour s’établir en-deçà de 3,5 % fin 2024. Ce mouvement a été rendu possible par la restauration des marges bancaires, permettant elle-même une plus forte concurrence entre établissements prêteurs pour regagner des parts de marché. Dans le même temps, l</w:t>
      </w:r>
      <w:r w:rsidRPr="00B724B9">
        <w:rPr>
          <w:rFonts w:ascii="Arial" w:hAnsi="Arial" w:cs="Arial"/>
        </w:rPr>
        <w:t xml:space="preserve">es </w:t>
      </w:r>
      <w:r>
        <w:rPr>
          <w:rFonts w:ascii="Arial" w:hAnsi="Arial" w:cs="Arial"/>
        </w:rPr>
        <w:t>durées à l’origine des prêts se sont érodées</w:t>
      </w:r>
      <w:r w:rsidRPr="00B724B9">
        <w:rPr>
          <w:rFonts w:ascii="Arial" w:hAnsi="Arial" w:cs="Arial"/>
        </w:rPr>
        <w:t xml:space="preserve">, </w:t>
      </w:r>
      <w:r>
        <w:rPr>
          <w:rFonts w:ascii="Arial" w:hAnsi="Arial" w:cs="Arial"/>
        </w:rPr>
        <w:t>tout en restant à un niveau élevé de plus de vingt ans en moyenne.</w:t>
      </w:r>
      <w:r w:rsidRPr="00B724B9">
        <w:rPr>
          <w:rFonts w:ascii="Arial" w:hAnsi="Arial" w:cs="Arial"/>
        </w:rPr>
        <w:t xml:space="preserve"> </w:t>
      </w:r>
      <w:r>
        <w:rPr>
          <w:rFonts w:ascii="Arial" w:hAnsi="Arial" w:cs="Arial"/>
        </w:rPr>
        <w:t>En conséquence</w:t>
      </w:r>
      <w:r w:rsidRPr="00B724B9">
        <w:rPr>
          <w:rFonts w:ascii="Arial" w:hAnsi="Arial" w:cs="Arial"/>
        </w:rPr>
        <w:t xml:space="preserve">, </w:t>
      </w:r>
      <w:r>
        <w:rPr>
          <w:rFonts w:ascii="Arial" w:hAnsi="Arial" w:cs="Arial"/>
        </w:rPr>
        <w:t>le nombre de prêts accordés progresse d’environ 20 % en 2024, et même de 30 % pour le neuf. Compte tenu à la fois d’un effet retard mais surtout d’un effet de transformation de marché avec moins de primo-accédants et des montants unitaires de prêts moindres</w:t>
      </w:r>
      <w:r w:rsidRPr="00B724B9">
        <w:rPr>
          <w:rFonts w:ascii="Arial" w:hAnsi="Arial" w:cs="Arial"/>
        </w:rPr>
        <w:t xml:space="preserve">, la </w:t>
      </w:r>
      <w:r>
        <w:rPr>
          <w:rFonts w:ascii="Arial" w:hAnsi="Arial" w:cs="Arial"/>
        </w:rPr>
        <w:t xml:space="preserve">production </w:t>
      </w:r>
      <w:r w:rsidRPr="00B724B9">
        <w:rPr>
          <w:rFonts w:ascii="Arial" w:hAnsi="Arial" w:cs="Arial"/>
        </w:rPr>
        <w:t>de crédit</w:t>
      </w:r>
      <w:r>
        <w:rPr>
          <w:rFonts w:ascii="Arial" w:hAnsi="Arial" w:cs="Arial"/>
        </w:rPr>
        <w:t xml:space="preserve"> immobilier</w:t>
      </w:r>
      <w:r w:rsidRPr="00B724B9">
        <w:rPr>
          <w:rFonts w:ascii="Arial" w:hAnsi="Arial" w:cs="Arial"/>
        </w:rPr>
        <w:t xml:space="preserve"> </w:t>
      </w:r>
      <w:r>
        <w:rPr>
          <w:rFonts w:ascii="Arial" w:hAnsi="Arial" w:cs="Arial"/>
        </w:rPr>
        <w:t>s’avère proche d’un point bas et se stabilise même dans le neuf. Malgré cette détente, l’apport personnel demandé croît encore, portant sa hausse sur cinq ans à environ 40 %, ce qui continue d’évincer du marché les jeunes et/ou modestes ménages. La</w:t>
      </w:r>
      <w:r w:rsidRPr="00CF1C06">
        <w:rPr>
          <w:rFonts w:ascii="Arial" w:hAnsi="Arial" w:cs="Arial"/>
        </w:rPr>
        <w:t xml:space="preserve"> reprise du marché </w:t>
      </w:r>
      <w:r>
        <w:rPr>
          <w:rFonts w:ascii="Arial" w:hAnsi="Arial" w:cs="Arial"/>
        </w:rPr>
        <w:t xml:space="preserve">ne pourra intervenir </w:t>
      </w:r>
      <w:r w:rsidRPr="00CF1C06">
        <w:rPr>
          <w:rFonts w:ascii="Arial" w:hAnsi="Arial" w:cs="Arial"/>
        </w:rPr>
        <w:t xml:space="preserve">qu’avec un desserrement </w:t>
      </w:r>
      <w:r>
        <w:rPr>
          <w:rFonts w:ascii="Arial" w:hAnsi="Arial" w:cs="Arial"/>
        </w:rPr>
        <w:t>de cette contrainte.</w:t>
      </w:r>
      <w:r w:rsidRPr="00CF1C06">
        <w:rPr>
          <w:rFonts w:ascii="Arial" w:hAnsi="Arial" w:cs="Arial"/>
        </w:rPr>
        <w:t xml:space="preserve"> </w:t>
      </w:r>
    </w:p>
    <w:p w14:paraId="6350AADA" w14:textId="77777777" w:rsidR="00F77E6A" w:rsidRDefault="00F77E6A" w:rsidP="00F77E6A">
      <w:pPr>
        <w:spacing w:before="360" w:after="120" w:line="360" w:lineRule="auto"/>
        <w:rPr>
          <w:rFonts w:ascii="Arial" w:hAnsi="Arial" w:cs="Arial"/>
          <w:u w:val="single"/>
        </w:rPr>
      </w:pPr>
      <w:r w:rsidRPr="0082255A">
        <w:rPr>
          <w:rFonts w:ascii="Arial" w:hAnsi="Arial" w:cs="Arial"/>
          <w:u w:val="single"/>
        </w:rPr>
        <w:t>1.2 Activité et emploi dans le bâtiment</w:t>
      </w:r>
    </w:p>
    <w:p w14:paraId="28B76349" w14:textId="77777777" w:rsidR="00F77E6A" w:rsidRPr="006A1E93" w:rsidRDefault="00F77E6A" w:rsidP="00F77E6A">
      <w:pPr>
        <w:spacing w:before="240" w:after="120" w:line="360" w:lineRule="auto"/>
        <w:rPr>
          <w:rFonts w:ascii="Arial" w:hAnsi="Arial" w:cs="Arial"/>
          <w:i/>
        </w:rPr>
      </w:pPr>
      <w:r w:rsidRPr="006A1E93">
        <w:rPr>
          <w:rFonts w:ascii="Arial" w:hAnsi="Arial" w:cs="Arial"/>
          <w:i/>
        </w:rPr>
        <w:t>1.2.1 Le logement neuf</w:t>
      </w:r>
    </w:p>
    <w:p w14:paraId="1E68A530" w14:textId="287E384A" w:rsidR="00F77E6A" w:rsidRPr="0082255A" w:rsidRDefault="00F77E6A" w:rsidP="00F77E6A">
      <w:pPr>
        <w:spacing w:after="120" w:line="360" w:lineRule="auto"/>
        <w:jc w:val="both"/>
        <w:rPr>
          <w:rFonts w:ascii="Arial" w:hAnsi="Arial" w:cs="Arial"/>
        </w:rPr>
      </w:pPr>
      <w:r w:rsidRPr="0082255A">
        <w:rPr>
          <w:rFonts w:ascii="Arial" w:hAnsi="Arial" w:cs="Arial"/>
        </w:rPr>
        <w:t>La production du logement neuf plonge en 2024, de 21,9</w:t>
      </w:r>
      <w:r>
        <w:rPr>
          <w:rFonts w:ascii="Arial" w:hAnsi="Arial" w:cs="Arial"/>
        </w:rPr>
        <w:t> </w:t>
      </w:r>
      <w:r w:rsidRPr="0082255A">
        <w:rPr>
          <w:rFonts w:ascii="Arial" w:hAnsi="Arial" w:cs="Arial"/>
        </w:rPr>
        <w:t xml:space="preserve">% </w:t>
      </w:r>
      <w:r>
        <w:rPr>
          <w:rFonts w:ascii="Arial" w:hAnsi="Arial" w:cs="Arial"/>
        </w:rPr>
        <w:t>à prix constant</w:t>
      </w:r>
      <w:r w:rsidR="00B40861">
        <w:rPr>
          <w:rFonts w:ascii="Arial" w:hAnsi="Arial" w:cs="Arial"/>
        </w:rPr>
        <w:t>s</w:t>
      </w:r>
      <w:r>
        <w:rPr>
          <w:rFonts w:ascii="Arial" w:hAnsi="Arial" w:cs="Arial"/>
        </w:rPr>
        <w:t xml:space="preserve"> </w:t>
      </w:r>
      <w:r w:rsidRPr="0082255A">
        <w:rPr>
          <w:rFonts w:ascii="Arial" w:hAnsi="Arial" w:cs="Arial"/>
        </w:rPr>
        <w:t>(cf. graphique 4)</w:t>
      </w:r>
      <w:r>
        <w:rPr>
          <w:rFonts w:ascii="Arial" w:hAnsi="Arial" w:cs="Arial"/>
        </w:rPr>
        <w:t>, l’individuel ayant été plus affecté (-25,6 %) que le collectif (-16,9 %).</w:t>
      </w:r>
    </w:p>
    <w:p w14:paraId="2F95E8B9" w14:textId="77777777" w:rsidR="00F77E6A" w:rsidDel="00076362" w:rsidRDefault="00F77E6A" w:rsidP="00F77E6A">
      <w:pPr>
        <w:spacing w:after="120" w:line="360" w:lineRule="auto"/>
        <w:jc w:val="both"/>
        <w:rPr>
          <w:rFonts w:ascii="Arial" w:hAnsi="Arial" w:cs="Arial"/>
        </w:rPr>
      </w:pPr>
      <w:r>
        <w:rPr>
          <w:rFonts w:ascii="Arial" w:hAnsi="Arial" w:cs="Arial"/>
        </w:rPr>
        <w:t xml:space="preserve">De fait, </w:t>
      </w:r>
      <w:r w:rsidRPr="0082255A" w:rsidDel="00076362">
        <w:rPr>
          <w:rFonts w:ascii="Arial" w:hAnsi="Arial" w:cs="Arial"/>
        </w:rPr>
        <w:t>la chute des mises en chantier</w:t>
      </w:r>
      <w:r>
        <w:rPr>
          <w:rFonts w:ascii="Arial" w:hAnsi="Arial" w:cs="Arial"/>
        </w:rPr>
        <w:t>,</w:t>
      </w:r>
      <w:r w:rsidRPr="0082255A" w:rsidDel="00076362">
        <w:rPr>
          <w:rFonts w:ascii="Arial" w:hAnsi="Arial" w:cs="Arial"/>
        </w:rPr>
        <w:t xml:space="preserve"> </w:t>
      </w:r>
      <w:r>
        <w:rPr>
          <w:rFonts w:ascii="Arial" w:hAnsi="Arial" w:cs="Arial"/>
        </w:rPr>
        <w:t xml:space="preserve">amorcée en 2022 (-4,2 %), s’est nettement accentuée depuis, avec respectivement </w:t>
      </w:r>
      <w:r w:rsidRPr="0082255A">
        <w:rPr>
          <w:rFonts w:ascii="Arial" w:hAnsi="Arial" w:cs="Arial"/>
        </w:rPr>
        <w:t>-</w:t>
      </w:r>
      <w:r w:rsidRPr="0082255A" w:rsidDel="00076362">
        <w:rPr>
          <w:rFonts w:ascii="Arial" w:hAnsi="Arial" w:cs="Arial"/>
        </w:rPr>
        <w:t>24,9 % et -14,2 %</w:t>
      </w:r>
      <w:r>
        <w:rPr>
          <w:rFonts w:ascii="Arial" w:hAnsi="Arial" w:cs="Arial"/>
        </w:rPr>
        <w:t xml:space="preserve"> en 2023 et 2024</w:t>
      </w:r>
      <w:r w:rsidRPr="0082255A" w:rsidDel="00076362">
        <w:rPr>
          <w:rFonts w:ascii="Arial" w:hAnsi="Arial" w:cs="Arial"/>
        </w:rPr>
        <w:t xml:space="preserve">. </w:t>
      </w:r>
      <w:r>
        <w:rPr>
          <w:rFonts w:ascii="Arial" w:hAnsi="Arial" w:cs="Arial"/>
        </w:rPr>
        <w:t xml:space="preserve">Avec </w:t>
      </w:r>
      <w:r w:rsidRPr="0082255A" w:rsidDel="00076362">
        <w:rPr>
          <w:rFonts w:ascii="Arial" w:hAnsi="Arial" w:cs="Arial"/>
        </w:rPr>
        <w:t>253 000 ouvertures de chantier</w:t>
      </w:r>
      <w:r>
        <w:rPr>
          <w:rFonts w:ascii="Arial" w:hAnsi="Arial" w:cs="Arial"/>
        </w:rPr>
        <w:t>, le marché retrouve son niveau de 1954 !</w:t>
      </w:r>
      <w:r w:rsidRPr="0082255A" w:rsidDel="00076362">
        <w:rPr>
          <w:rFonts w:ascii="Arial" w:hAnsi="Arial" w:cs="Arial"/>
        </w:rPr>
        <w:t xml:space="preserve"> </w:t>
      </w:r>
      <w:r>
        <w:rPr>
          <w:rFonts w:ascii="Arial" w:hAnsi="Arial" w:cs="Arial"/>
        </w:rPr>
        <w:t xml:space="preserve">Plus en détail, l’individuel s’effondre de </w:t>
      </w:r>
      <w:r w:rsidRPr="0082255A" w:rsidDel="00076362">
        <w:rPr>
          <w:rFonts w:ascii="Arial" w:hAnsi="Arial" w:cs="Arial"/>
        </w:rPr>
        <w:t xml:space="preserve">23,7 % pour </w:t>
      </w:r>
      <w:r>
        <w:rPr>
          <w:rFonts w:ascii="Arial" w:hAnsi="Arial" w:cs="Arial"/>
        </w:rPr>
        <w:t xml:space="preserve">atteindre moins de 100 000 unités, et </w:t>
      </w:r>
      <w:r w:rsidRPr="0082255A" w:rsidDel="00076362">
        <w:rPr>
          <w:rFonts w:ascii="Arial" w:hAnsi="Arial" w:cs="Arial"/>
        </w:rPr>
        <w:t>le collectif</w:t>
      </w:r>
      <w:r>
        <w:rPr>
          <w:rFonts w:ascii="Arial" w:hAnsi="Arial" w:cs="Arial"/>
        </w:rPr>
        <w:t xml:space="preserve"> résiste à -6,9 % « seulement », grâce au</w:t>
      </w:r>
      <w:r w:rsidRPr="0082255A" w:rsidDel="00076362">
        <w:rPr>
          <w:rFonts w:ascii="Arial" w:hAnsi="Arial" w:cs="Arial"/>
        </w:rPr>
        <w:t xml:space="preserve"> programme de rachat, non pérenne, d’une partie d</w:t>
      </w:r>
      <w:r>
        <w:rPr>
          <w:rFonts w:ascii="Arial" w:hAnsi="Arial" w:cs="Arial"/>
        </w:rPr>
        <w:t>u</w:t>
      </w:r>
      <w:r w:rsidRPr="0082255A" w:rsidDel="00076362">
        <w:rPr>
          <w:rFonts w:ascii="Arial" w:hAnsi="Arial" w:cs="Arial"/>
        </w:rPr>
        <w:t xml:space="preserve"> stock des promoteurs par Action Logement</w:t>
      </w:r>
      <w:r w:rsidDel="00076362">
        <w:rPr>
          <w:rFonts w:ascii="Arial" w:hAnsi="Arial" w:cs="Arial"/>
        </w:rPr>
        <w:t xml:space="preserve"> et </w:t>
      </w:r>
      <w:r w:rsidRPr="0082255A" w:rsidDel="00076362">
        <w:rPr>
          <w:rFonts w:ascii="Arial" w:hAnsi="Arial" w:cs="Arial"/>
        </w:rPr>
        <w:t>CDC Habitat.</w:t>
      </w:r>
    </w:p>
    <w:p w14:paraId="250DC339" w14:textId="233FD0F6" w:rsidR="00F77E6A" w:rsidRDefault="00F77E6A" w:rsidP="00F77E6A">
      <w:pPr>
        <w:spacing w:after="120" w:line="360" w:lineRule="auto"/>
        <w:jc w:val="both"/>
        <w:rPr>
          <w:rFonts w:ascii="Arial" w:hAnsi="Arial" w:cs="Arial"/>
        </w:rPr>
      </w:pPr>
      <w:r w:rsidRPr="00A95260">
        <w:rPr>
          <w:rFonts w:ascii="Arial" w:hAnsi="Arial" w:cs="Arial"/>
        </w:rPr>
        <w:t xml:space="preserve">Les autorisations suivent </w:t>
      </w:r>
      <w:r>
        <w:rPr>
          <w:rFonts w:ascii="Arial" w:hAnsi="Arial" w:cs="Arial"/>
        </w:rPr>
        <w:t>une même tendance</w:t>
      </w:r>
      <w:r w:rsidRPr="00A95260">
        <w:rPr>
          <w:rFonts w:ascii="Arial" w:hAnsi="Arial" w:cs="Arial"/>
        </w:rPr>
        <w:t xml:space="preserve">, </w:t>
      </w:r>
      <w:r>
        <w:rPr>
          <w:rFonts w:ascii="Arial" w:hAnsi="Arial" w:cs="Arial"/>
        </w:rPr>
        <w:t xml:space="preserve">avec un </w:t>
      </w:r>
      <w:r w:rsidRPr="00A95260">
        <w:rPr>
          <w:rFonts w:ascii="Arial" w:hAnsi="Arial" w:cs="Arial"/>
        </w:rPr>
        <w:t>recul de 10,</w:t>
      </w:r>
      <w:r>
        <w:rPr>
          <w:rFonts w:ascii="Arial" w:hAnsi="Arial" w:cs="Arial"/>
        </w:rPr>
        <w:t>6</w:t>
      </w:r>
      <w:r w:rsidRPr="00A95260">
        <w:rPr>
          <w:rFonts w:ascii="Arial" w:hAnsi="Arial" w:cs="Arial"/>
        </w:rPr>
        <w:t> % en 2024</w:t>
      </w:r>
      <w:r>
        <w:rPr>
          <w:rFonts w:ascii="Arial" w:hAnsi="Arial" w:cs="Arial"/>
        </w:rPr>
        <w:t xml:space="preserve">, </w:t>
      </w:r>
      <w:r w:rsidRPr="00A95260">
        <w:rPr>
          <w:rFonts w:ascii="Arial" w:hAnsi="Arial" w:cs="Arial"/>
        </w:rPr>
        <w:t xml:space="preserve">après </w:t>
      </w:r>
      <w:r>
        <w:rPr>
          <w:rFonts w:ascii="Arial" w:hAnsi="Arial" w:cs="Arial"/>
        </w:rPr>
        <w:t xml:space="preserve">déjà </w:t>
      </w:r>
      <w:r w:rsidR="008315DF">
        <w:rPr>
          <w:rFonts w:ascii="Arial" w:hAnsi="Arial" w:cs="Arial"/>
        </w:rPr>
        <w:br/>
      </w:r>
      <w:r>
        <w:rPr>
          <w:rFonts w:ascii="Arial" w:hAnsi="Arial" w:cs="Arial"/>
        </w:rPr>
        <w:t>-</w:t>
      </w:r>
      <w:r w:rsidRPr="00A95260">
        <w:rPr>
          <w:rFonts w:ascii="Arial" w:hAnsi="Arial" w:cs="Arial"/>
        </w:rPr>
        <w:t xml:space="preserve">24,1 % en 2023. </w:t>
      </w:r>
      <w:r>
        <w:rPr>
          <w:rFonts w:ascii="Arial" w:hAnsi="Arial" w:cs="Arial"/>
        </w:rPr>
        <w:t>Là encore</w:t>
      </w:r>
      <w:r w:rsidRPr="00A95260">
        <w:rPr>
          <w:rFonts w:ascii="Arial" w:hAnsi="Arial" w:cs="Arial"/>
        </w:rPr>
        <w:t xml:space="preserve">, l’individuel </w:t>
      </w:r>
      <w:r>
        <w:rPr>
          <w:rFonts w:ascii="Arial" w:hAnsi="Arial" w:cs="Arial"/>
        </w:rPr>
        <w:t>souffre plus, à -</w:t>
      </w:r>
      <w:r w:rsidRPr="00A95260">
        <w:rPr>
          <w:rFonts w:ascii="Arial" w:hAnsi="Arial" w:cs="Arial"/>
        </w:rPr>
        <w:t>14,4 %</w:t>
      </w:r>
      <w:r>
        <w:rPr>
          <w:rFonts w:ascii="Arial" w:hAnsi="Arial" w:cs="Arial"/>
        </w:rPr>
        <w:t xml:space="preserve"> contre </w:t>
      </w:r>
      <w:r w:rsidRPr="00A95260">
        <w:rPr>
          <w:rFonts w:ascii="Arial" w:hAnsi="Arial" w:cs="Arial"/>
        </w:rPr>
        <w:t xml:space="preserve">-8,2 % </w:t>
      </w:r>
      <w:r>
        <w:rPr>
          <w:rFonts w:ascii="Arial" w:hAnsi="Arial" w:cs="Arial"/>
        </w:rPr>
        <w:t>dans le collectif</w:t>
      </w:r>
      <w:r w:rsidRPr="00A95260">
        <w:rPr>
          <w:rFonts w:ascii="Arial" w:hAnsi="Arial" w:cs="Arial"/>
        </w:rPr>
        <w:t>.</w:t>
      </w:r>
      <w:r>
        <w:rPr>
          <w:rFonts w:ascii="Arial" w:hAnsi="Arial" w:cs="Arial"/>
        </w:rPr>
        <w:t xml:space="preserve">  </w:t>
      </w:r>
      <w:r w:rsidRPr="00A95260">
        <w:rPr>
          <w:rFonts w:ascii="Arial" w:hAnsi="Arial" w:cs="Arial"/>
        </w:rPr>
        <w:t xml:space="preserve">Au total, </w:t>
      </w:r>
      <w:r>
        <w:rPr>
          <w:rFonts w:ascii="Arial" w:hAnsi="Arial" w:cs="Arial"/>
        </w:rPr>
        <w:t xml:space="preserve">2024 se solde sur </w:t>
      </w:r>
      <w:r w:rsidRPr="00A95260">
        <w:rPr>
          <w:rFonts w:ascii="Arial" w:hAnsi="Arial" w:cs="Arial"/>
        </w:rPr>
        <w:t>334 000 permis,</w:t>
      </w:r>
      <w:r>
        <w:rPr>
          <w:rFonts w:ascii="Arial" w:hAnsi="Arial" w:cs="Arial"/>
        </w:rPr>
        <w:t xml:space="preserve"> niveau de basses eaux,</w:t>
      </w:r>
      <w:r w:rsidRPr="00A95260">
        <w:rPr>
          <w:rFonts w:ascii="Arial" w:hAnsi="Arial" w:cs="Arial"/>
        </w:rPr>
        <w:t xml:space="preserve"> seulement 13 000 </w:t>
      </w:r>
      <w:r>
        <w:rPr>
          <w:rFonts w:ascii="Arial" w:hAnsi="Arial" w:cs="Arial"/>
        </w:rPr>
        <w:t>unités</w:t>
      </w:r>
      <w:r w:rsidRPr="00A95260">
        <w:rPr>
          <w:rFonts w:ascii="Arial" w:hAnsi="Arial" w:cs="Arial"/>
        </w:rPr>
        <w:t xml:space="preserve"> au-dessus du point bas de 1996.</w:t>
      </w:r>
      <w:r>
        <w:rPr>
          <w:rFonts w:ascii="Arial" w:hAnsi="Arial" w:cs="Arial"/>
        </w:rPr>
        <w:t xml:space="preserve"> Bien que l’environnement macro-financier se soit amélioré en 2024 comme vu plus haut, la forte contrainte de l’apport personnel ou des fonds propres minimaux a lourdement handicapé le logement neuf, d’autant que la suppression du PTZ dans l’individuel depuis le 1</w:t>
      </w:r>
      <w:r w:rsidRPr="006243F6">
        <w:rPr>
          <w:rFonts w:ascii="Arial" w:hAnsi="Arial" w:cs="Arial"/>
          <w:vertAlign w:val="superscript"/>
        </w:rPr>
        <w:t>er</w:t>
      </w:r>
      <w:r>
        <w:rPr>
          <w:rFonts w:ascii="Arial" w:hAnsi="Arial" w:cs="Arial"/>
        </w:rPr>
        <w:t xml:space="preserve"> avril 2024 est venue accentuer le problème.</w:t>
      </w:r>
    </w:p>
    <w:p w14:paraId="1C071629" w14:textId="77777777" w:rsidR="00F77E6A" w:rsidRDefault="00F77E6A" w:rsidP="00F77E6A">
      <w:pPr>
        <w:spacing w:after="120" w:line="360" w:lineRule="auto"/>
        <w:jc w:val="both"/>
        <w:rPr>
          <w:rFonts w:ascii="Arial" w:hAnsi="Arial" w:cs="Arial"/>
        </w:rPr>
      </w:pPr>
    </w:p>
    <w:p w14:paraId="56E9DC10" w14:textId="77777777" w:rsidR="00F77E6A" w:rsidRDefault="00F77E6A" w:rsidP="00F77E6A">
      <w:pPr>
        <w:spacing w:after="120" w:line="360" w:lineRule="auto"/>
        <w:jc w:val="both"/>
        <w:rPr>
          <w:rFonts w:ascii="Arial" w:hAnsi="Arial" w:cs="Arial"/>
        </w:rPr>
      </w:pPr>
    </w:p>
    <w:p w14:paraId="64AC425A" w14:textId="77777777" w:rsidR="00F77E6A" w:rsidRPr="00A95260" w:rsidRDefault="00F77E6A" w:rsidP="00F77E6A">
      <w:pPr>
        <w:spacing w:after="0" w:line="360" w:lineRule="auto"/>
        <w:jc w:val="center"/>
        <w:rPr>
          <w:rFonts w:ascii="Arial" w:hAnsi="Arial" w:cs="Arial"/>
          <w:b/>
          <w:bCs/>
        </w:rPr>
      </w:pPr>
      <w:r w:rsidRPr="00A95260">
        <w:rPr>
          <w:rFonts w:ascii="Arial" w:hAnsi="Arial" w:cs="Arial"/>
        </w:rPr>
        <w:lastRenderedPageBreak/>
        <w:t xml:space="preserve">Graphique 4 – </w:t>
      </w:r>
      <w:r w:rsidRPr="00A95260">
        <w:rPr>
          <w:rFonts w:ascii="Arial" w:hAnsi="Arial" w:cs="Arial"/>
          <w:b/>
          <w:bCs/>
        </w:rPr>
        <w:t>Autorisations, mises en chantier</w:t>
      </w:r>
      <w:r w:rsidRPr="00A95260">
        <w:rPr>
          <w:rFonts w:ascii="Arial" w:hAnsi="Arial" w:cs="Arial"/>
        </w:rPr>
        <w:t xml:space="preserve"> (en date réelle estimée) </w:t>
      </w:r>
      <w:r w:rsidRPr="00A95260">
        <w:rPr>
          <w:rFonts w:ascii="Arial" w:hAnsi="Arial" w:cs="Arial"/>
          <w:b/>
          <w:bCs/>
        </w:rPr>
        <w:t>et production de logements</w:t>
      </w:r>
    </w:p>
    <w:p w14:paraId="3F7A7028" w14:textId="7A9BA873" w:rsidR="00F77E6A" w:rsidRDefault="00B40861" w:rsidP="00F77E6A">
      <w:pPr>
        <w:spacing w:line="312" w:lineRule="auto"/>
        <w:jc w:val="center"/>
        <w:rPr>
          <w:rFonts w:ascii="Arial" w:hAnsi="Arial" w:cs="Arial"/>
          <w:i/>
          <w:sz w:val="20"/>
          <w:szCs w:val="20"/>
        </w:rPr>
      </w:pPr>
      <w:r w:rsidRPr="00B40861">
        <w:rPr>
          <w:rFonts w:ascii="Arial" w:hAnsi="Arial" w:cs="Arial"/>
          <w:i/>
          <w:noProof/>
          <w:sz w:val="20"/>
          <w:szCs w:val="20"/>
        </w:rPr>
        <w:drawing>
          <wp:inline distT="0" distB="0" distL="0" distR="0" wp14:anchorId="7E76B0F2" wp14:editId="65767B47">
            <wp:extent cx="5760720" cy="3064510"/>
            <wp:effectExtent l="0" t="0" r="0" b="2540"/>
            <wp:docPr id="24802275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064510"/>
                    </a:xfrm>
                    <a:prstGeom prst="rect">
                      <a:avLst/>
                    </a:prstGeom>
                    <a:noFill/>
                    <a:ln>
                      <a:noFill/>
                    </a:ln>
                  </pic:spPr>
                </pic:pic>
              </a:graphicData>
            </a:graphic>
          </wp:inline>
        </w:drawing>
      </w:r>
      <w:r w:rsidR="00F77E6A" w:rsidRPr="0077177C">
        <w:rPr>
          <w:rFonts w:ascii="Arial" w:hAnsi="Arial" w:cs="Arial"/>
          <w:i/>
          <w:sz w:val="20"/>
          <w:szCs w:val="20"/>
        </w:rPr>
        <w:t xml:space="preserve">Source : </w:t>
      </w:r>
      <w:r w:rsidR="00F77E6A">
        <w:rPr>
          <w:rFonts w:ascii="Arial" w:hAnsi="Arial" w:cs="Arial"/>
          <w:i/>
          <w:sz w:val="20"/>
          <w:szCs w:val="20"/>
        </w:rPr>
        <w:t>FFB à partir de Ministère de la transition écologique et de la cohésion des territoires (MTECT)/Commissariat général au développement durable (CGDD)/Service de la donnée et des études statistiques (SDES)</w:t>
      </w:r>
      <w:r w:rsidR="00F77E6A" w:rsidRPr="0077177C">
        <w:rPr>
          <w:rFonts w:ascii="Arial" w:hAnsi="Arial" w:cs="Arial"/>
          <w:i/>
          <w:sz w:val="20"/>
          <w:szCs w:val="20"/>
        </w:rPr>
        <w:t>, Sit@del2</w:t>
      </w:r>
    </w:p>
    <w:p w14:paraId="572D72DD" w14:textId="77777777" w:rsidR="00F77E6A" w:rsidRDefault="00F77E6A" w:rsidP="00F77E6A">
      <w:pPr>
        <w:spacing w:line="312" w:lineRule="auto"/>
        <w:jc w:val="center"/>
        <w:rPr>
          <w:rFonts w:ascii="Arial" w:hAnsi="Arial" w:cs="Arial"/>
          <w:i/>
          <w:sz w:val="20"/>
          <w:szCs w:val="20"/>
        </w:rPr>
      </w:pPr>
    </w:p>
    <w:p w14:paraId="059C7B4E" w14:textId="77777777" w:rsidR="00F77E6A" w:rsidRDefault="00F77E6A" w:rsidP="00F77E6A">
      <w:pPr>
        <w:spacing w:before="240" w:after="120" w:line="360" w:lineRule="auto"/>
        <w:jc w:val="both"/>
        <w:rPr>
          <w:rFonts w:ascii="Arial" w:hAnsi="Arial" w:cs="Arial"/>
          <w:i/>
          <w:iCs/>
        </w:rPr>
      </w:pPr>
      <w:r w:rsidRPr="00AD4328">
        <w:rPr>
          <w:rFonts w:ascii="Arial" w:hAnsi="Arial" w:cs="Arial"/>
          <w:i/>
          <w:iCs/>
        </w:rPr>
        <w:t>1.2.2 Le non résidentiel neuf</w:t>
      </w:r>
    </w:p>
    <w:p w14:paraId="5F330BD7" w14:textId="19A72FAA" w:rsidR="00F77E6A" w:rsidRDefault="00F77E6A" w:rsidP="00F77E6A">
      <w:pPr>
        <w:spacing w:after="120" w:line="360" w:lineRule="auto"/>
        <w:jc w:val="both"/>
        <w:rPr>
          <w:rFonts w:ascii="Arial" w:hAnsi="Arial" w:cs="Arial"/>
        </w:rPr>
      </w:pPr>
      <w:r>
        <w:rPr>
          <w:rFonts w:ascii="Arial" w:hAnsi="Arial" w:cs="Arial"/>
        </w:rPr>
        <w:t xml:space="preserve">Après une quasi-stabilisation en volume </w:t>
      </w:r>
      <w:r w:rsidR="00E95672">
        <w:rPr>
          <w:rFonts w:ascii="Arial" w:hAnsi="Arial" w:cs="Arial"/>
        </w:rPr>
        <w:t xml:space="preserve">en </w:t>
      </w:r>
      <w:r>
        <w:rPr>
          <w:rFonts w:ascii="Arial" w:hAnsi="Arial" w:cs="Arial"/>
        </w:rPr>
        <w:t>2023 (+0,3 %), la production dans le non résidentiel neuf recule de 7,4 % en 2024 (cf. graphique 5).</w:t>
      </w:r>
    </w:p>
    <w:p w14:paraId="445A3343" w14:textId="15E7B86E" w:rsidR="00F77E6A" w:rsidRDefault="00F77E6A" w:rsidP="00F77E6A">
      <w:pPr>
        <w:spacing w:after="120" w:line="360" w:lineRule="auto"/>
        <w:jc w:val="both"/>
        <w:rPr>
          <w:rFonts w:ascii="Arial" w:hAnsi="Arial" w:cs="Arial"/>
        </w:rPr>
      </w:pPr>
      <w:r>
        <w:rPr>
          <w:rFonts w:ascii="Arial" w:hAnsi="Arial" w:cs="Arial"/>
        </w:rPr>
        <w:t>Cette baisse résulte des chutes successives des surfaces commencées de 15,0 % en 2023, puis encore</w:t>
      </w:r>
      <w:r w:rsidR="001A70DC">
        <w:rPr>
          <w:rFonts w:ascii="Arial" w:hAnsi="Arial" w:cs="Arial"/>
        </w:rPr>
        <w:t xml:space="preserve"> </w:t>
      </w:r>
      <w:r w:rsidR="00E6728A">
        <w:rPr>
          <w:rFonts w:ascii="Arial" w:hAnsi="Arial" w:cs="Arial"/>
        </w:rPr>
        <w:t xml:space="preserve">de </w:t>
      </w:r>
      <w:r>
        <w:rPr>
          <w:rFonts w:ascii="Arial" w:hAnsi="Arial" w:cs="Arial"/>
        </w:rPr>
        <w:t xml:space="preserve">10,1 % en 2024. Elles définissent un nouveau plus bas historique depuis 1986 avec </w:t>
      </w:r>
      <w:r w:rsidRPr="000D30CA">
        <w:rPr>
          <w:rFonts w:ascii="Arial" w:hAnsi="Arial" w:cs="Arial"/>
        </w:rPr>
        <w:t>2</w:t>
      </w:r>
      <w:r>
        <w:rPr>
          <w:rFonts w:ascii="Arial" w:hAnsi="Arial" w:cs="Arial"/>
        </w:rPr>
        <w:t>0</w:t>
      </w:r>
      <w:r w:rsidRPr="000D30CA">
        <w:rPr>
          <w:rFonts w:ascii="Arial" w:hAnsi="Arial" w:cs="Arial"/>
        </w:rPr>
        <w:t>,</w:t>
      </w:r>
      <w:r>
        <w:rPr>
          <w:rFonts w:ascii="Arial" w:hAnsi="Arial" w:cs="Arial"/>
        </w:rPr>
        <w:t>1</w:t>
      </w:r>
      <w:r w:rsidRPr="000D30CA">
        <w:rPr>
          <w:rFonts w:ascii="Arial" w:hAnsi="Arial" w:cs="Arial"/>
        </w:rPr>
        <w:t xml:space="preserve"> millions de m²</w:t>
      </w:r>
      <w:r>
        <w:rPr>
          <w:rFonts w:ascii="Arial" w:hAnsi="Arial" w:cs="Arial"/>
        </w:rPr>
        <w:t>. Tous les segments ressortent en territoire négatif en 2024, les plus fortes baisses concernant les hébergements hôteliers (-29,3 %), les bureaux (-22,8 %), puis les bâtiments industriels et assimilés (-9,9 %).</w:t>
      </w:r>
    </w:p>
    <w:p w14:paraId="536D6A5B" w14:textId="77777777" w:rsidR="00F77E6A" w:rsidRPr="00C423A1" w:rsidRDefault="00F77E6A" w:rsidP="00F77E6A">
      <w:pPr>
        <w:spacing w:after="120" w:line="360" w:lineRule="auto"/>
        <w:jc w:val="both"/>
        <w:rPr>
          <w:rFonts w:ascii="Arial" w:hAnsi="Arial" w:cs="Arial"/>
        </w:rPr>
      </w:pPr>
      <w:r w:rsidRPr="005F635E">
        <w:rPr>
          <w:rFonts w:ascii="Arial" w:hAnsi="Arial" w:cs="Arial"/>
        </w:rPr>
        <w:t xml:space="preserve">Quant aux surfaces autorisées, </w:t>
      </w:r>
      <w:r>
        <w:rPr>
          <w:rFonts w:ascii="Arial" w:hAnsi="Arial" w:cs="Arial"/>
        </w:rPr>
        <w:t>leur repli global ressort bien plus contenu, à -2</w:t>
      </w:r>
      <w:r w:rsidRPr="005F635E">
        <w:rPr>
          <w:rFonts w:ascii="Arial" w:hAnsi="Arial" w:cs="Arial"/>
        </w:rPr>
        <w:t>,</w:t>
      </w:r>
      <w:r>
        <w:rPr>
          <w:rFonts w:ascii="Arial" w:hAnsi="Arial" w:cs="Arial"/>
        </w:rPr>
        <w:t>3 </w:t>
      </w:r>
      <w:r w:rsidRPr="005F635E">
        <w:rPr>
          <w:rFonts w:ascii="Arial" w:hAnsi="Arial" w:cs="Arial"/>
        </w:rPr>
        <w:t>%</w:t>
      </w:r>
      <w:r>
        <w:rPr>
          <w:rFonts w:ascii="Arial" w:hAnsi="Arial" w:cs="Arial"/>
        </w:rPr>
        <w:t>. Les bureaux enregistrent la baisse la plus forte (-7,9 %) devant les commerces (-4,8 %), les bâtiments industriels et assimilés (-3,6 %) ainsi que les hébergements hôteliers (-1,9 %). Les bâtiments administratifs s’avèrent, quant à eux, quasi-stables (+0,2 %) alors que les locaux agricoles s’affichent en hausse de 3,9 %.</w:t>
      </w:r>
    </w:p>
    <w:p w14:paraId="01BE4023" w14:textId="77777777" w:rsidR="00B40861" w:rsidRDefault="00B40861">
      <w:pPr>
        <w:rPr>
          <w:rFonts w:ascii="Arial" w:hAnsi="Arial" w:cs="Arial"/>
        </w:rPr>
      </w:pPr>
      <w:r>
        <w:rPr>
          <w:rFonts w:ascii="Arial" w:hAnsi="Arial" w:cs="Arial"/>
        </w:rPr>
        <w:br w:type="page"/>
      </w:r>
    </w:p>
    <w:p w14:paraId="2795F6CF" w14:textId="4A859552" w:rsidR="00F77E6A" w:rsidRPr="00BC4691" w:rsidRDefault="00F77E6A" w:rsidP="00F77E6A">
      <w:pPr>
        <w:spacing w:after="0" w:line="360" w:lineRule="auto"/>
        <w:jc w:val="center"/>
        <w:rPr>
          <w:rFonts w:ascii="Arial" w:hAnsi="Arial" w:cs="Arial"/>
          <w:b/>
          <w:bCs/>
        </w:rPr>
      </w:pPr>
      <w:r w:rsidRPr="00BC4691">
        <w:rPr>
          <w:rFonts w:ascii="Arial" w:hAnsi="Arial" w:cs="Arial"/>
        </w:rPr>
        <w:lastRenderedPageBreak/>
        <w:t xml:space="preserve">Graphique 5 – </w:t>
      </w:r>
      <w:r w:rsidRPr="00BC4691">
        <w:rPr>
          <w:rFonts w:ascii="Arial" w:hAnsi="Arial" w:cs="Arial"/>
          <w:b/>
          <w:bCs/>
        </w:rPr>
        <w:t>Surfaces autorisées, surfaces commencées</w:t>
      </w:r>
      <w:r w:rsidRPr="00BC4691">
        <w:rPr>
          <w:rFonts w:ascii="Arial" w:hAnsi="Arial" w:cs="Arial"/>
        </w:rPr>
        <w:t xml:space="preserve"> (en date de prise en compte) </w:t>
      </w:r>
      <w:r w:rsidRPr="00BC4691">
        <w:rPr>
          <w:rFonts w:ascii="Arial" w:hAnsi="Arial" w:cs="Arial"/>
          <w:b/>
          <w:bCs/>
        </w:rPr>
        <w:t xml:space="preserve">et production de bâtiments non résidentiels neufs </w:t>
      </w:r>
      <w:r w:rsidRPr="00076362">
        <w:rPr>
          <w:rFonts w:ascii="Arial" w:hAnsi="Arial" w:cs="Arial"/>
          <w:b/>
          <w:bCs/>
        </w:rPr>
        <w:t xml:space="preserve"> </w:t>
      </w:r>
    </w:p>
    <w:p w14:paraId="3F2A1D32" w14:textId="03074601" w:rsidR="00F77E6A" w:rsidRDefault="00B40861" w:rsidP="00F77E6A">
      <w:pPr>
        <w:spacing w:after="120" w:line="360" w:lineRule="auto"/>
        <w:jc w:val="center"/>
        <w:rPr>
          <w:rFonts w:ascii="Arial" w:hAnsi="Arial" w:cs="Arial"/>
          <w:i/>
          <w:sz w:val="20"/>
          <w:szCs w:val="20"/>
        </w:rPr>
      </w:pPr>
      <w:r w:rsidRPr="00B40861">
        <w:rPr>
          <w:rFonts w:ascii="Arial" w:hAnsi="Arial" w:cs="Arial"/>
          <w:i/>
          <w:noProof/>
          <w:sz w:val="20"/>
        </w:rPr>
        <w:drawing>
          <wp:inline distT="0" distB="0" distL="0" distR="0" wp14:anchorId="5B7F432B" wp14:editId="5776C8EE">
            <wp:extent cx="5760720" cy="3064510"/>
            <wp:effectExtent l="0" t="0" r="0" b="2540"/>
            <wp:docPr id="178238098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064510"/>
                    </a:xfrm>
                    <a:prstGeom prst="rect">
                      <a:avLst/>
                    </a:prstGeom>
                    <a:noFill/>
                    <a:ln>
                      <a:noFill/>
                    </a:ln>
                  </pic:spPr>
                </pic:pic>
              </a:graphicData>
            </a:graphic>
          </wp:inline>
        </w:drawing>
      </w:r>
      <w:r w:rsidR="00F77E6A" w:rsidRPr="00D976ED">
        <w:rPr>
          <w:rFonts w:ascii="Arial" w:hAnsi="Arial" w:cs="Arial"/>
          <w:i/>
          <w:sz w:val="20"/>
        </w:rPr>
        <w:t xml:space="preserve">Source : </w:t>
      </w:r>
      <w:r w:rsidR="00F77E6A">
        <w:rPr>
          <w:rFonts w:ascii="Arial" w:hAnsi="Arial" w:cs="Arial"/>
          <w:i/>
          <w:sz w:val="20"/>
          <w:szCs w:val="20"/>
        </w:rPr>
        <w:t>FFB à partir de MTECT</w:t>
      </w:r>
      <w:r>
        <w:rPr>
          <w:rFonts w:ascii="Arial" w:hAnsi="Arial" w:cs="Arial"/>
          <w:i/>
          <w:sz w:val="20"/>
          <w:szCs w:val="20"/>
        </w:rPr>
        <w:t>/</w:t>
      </w:r>
      <w:r w:rsidR="00F77E6A">
        <w:rPr>
          <w:rFonts w:ascii="Arial" w:hAnsi="Arial" w:cs="Arial"/>
          <w:i/>
          <w:sz w:val="20"/>
          <w:szCs w:val="20"/>
        </w:rPr>
        <w:t>CG</w:t>
      </w:r>
      <w:r>
        <w:rPr>
          <w:rFonts w:ascii="Arial" w:hAnsi="Arial" w:cs="Arial"/>
          <w:i/>
          <w:sz w:val="20"/>
          <w:szCs w:val="20"/>
        </w:rPr>
        <w:t>DD</w:t>
      </w:r>
      <w:r w:rsidR="00F77E6A">
        <w:rPr>
          <w:rFonts w:ascii="Arial" w:hAnsi="Arial" w:cs="Arial"/>
          <w:i/>
          <w:sz w:val="20"/>
          <w:szCs w:val="20"/>
        </w:rPr>
        <w:t>/SDES</w:t>
      </w:r>
      <w:r w:rsidR="00F77E6A" w:rsidRPr="0077177C">
        <w:rPr>
          <w:rFonts w:ascii="Arial" w:hAnsi="Arial" w:cs="Arial"/>
          <w:i/>
          <w:sz w:val="20"/>
          <w:szCs w:val="20"/>
        </w:rPr>
        <w:t>, Sit@del2</w:t>
      </w:r>
    </w:p>
    <w:p w14:paraId="4DAED145" w14:textId="77777777" w:rsidR="00F77E6A" w:rsidRPr="00D976ED" w:rsidRDefault="00F77E6A" w:rsidP="00F77E6A">
      <w:pPr>
        <w:spacing w:after="120" w:line="360" w:lineRule="auto"/>
        <w:jc w:val="center"/>
        <w:rPr>
          <w:rFonts w:ascii="Arial" w:hAnsi="Arial" w:cs="Arial"/>
          <w:i/>
          <w:sz w:val="20"/>
        </w:rPr>
      </w:pPr>
    </w:p>
    <w:p w14:paraId="469F1032" w14:textId="77777777" w:rsidR="00F77E6A" w:rsidRPr="0082255A" w:rsidRDefault="00F77E6A" w:rsidP="00F77E6A">
      <w:pPr>
        <w:spacing w:before="240" w:after="120" w:line="360" w:lineRule="auto"/>
        <w:jc w:val="both"/>
        <w:rPr>
          <w:rFonts w:ascii="Arial" w:hAnsi="Arial" w:cs="Arial"/>
        </w:rPr>
      </w:pPr>
      <w:r w:rsidRPr="00B724B9">
        <w:rPr>
          <w:rFonts w:ascii="Arial" w:hAnsi="Arial" w:cs="Arial"/>
          <w:i/>
          <w:iCs/>
        </w:rPr>
        <w:t>1.2.3. L’amélioration-entretien</w:t>
      </w:r>
    </w:p>
    <w:p w14:paraId="5F3D169E" w14:textId="7B5604A1" w:rsidR="00F77E6A" w:rsidRDefault="00F77E6A" w:rsidP="00F77E6A">
      <w:pPr>
        <w:spacing w:line="360" w:lineRule="auto"/>
        <w:jc w:val="both"/>
        <w:rPr>
          <w:rFonts w:ascii="Arial" w:hAnsi="Arial" w:cs="Arial"/>
        </w:rPr>
      </w:pPr>
      <w:r w:rsidRPr="00B724B9">
        <w:rPr>
          <w:rFonts w:ascii="Arial" w:hAnsi="Arial" w:cs="Arial"/>
        </w:rPr>
        <w:t xml:space="preserve">En 2024, l’amélioration-entretien ressort comme le seul grand segment en </w:t>
      </w:r>
      <w:r>
        <w:rPr>
          <w:rFonts w:ascii="Arial" w:hAnsi="Arial" w:cs="Arial"/>
        </w:rPr>
        <w:t>croissance</w:t>
      </w:r>
      <w:r w:rsidRPr="00B724B9">
        <w:rPr>
          <w:rFonts w:ascii="Arial" w:hAnsi="Arial" w:cs="Arial"/>
        </w:rPr>
        <w:t>, à +1,</w:t>
      </w:r>
      <w:r>
        <w:rPr>
          <w:rFonts w:ascii="Arial" w:hAnsi="Arial" w:cs="Arial"/>
        </w:rPr>
        <w:t>2 </w:t>
      </w:r>
      <w:r w:rsidRPr="00B724B9">
        <w:rPr>
          <w:rFonts w:ascii="Arial" w:hAnsi="Arial" w:cs="Arial"/>
        </w:rPr>
        <w:t>% à prix constants</w:t>
      </w:r>
      <w:r>
        <w:rPr>
          <w:rFonts w:ascii="Arial" w:hAnsi="Arial" w:cs="Arial"/>
        </w:rPr>
        <w:t xml:space="preserve"> (cf. graphique 6). Toutefois</w:t>
      </w:r>
      <w:r w:rsidRPr="00B724B9">
        <w:rPr>
          <w:rFonts w:ascii="Arial" w:hAnsi="Arial" w:cs="Arial"/>
        </w:rPr>
        <w:t xml:space="preserve">, </w:t>
      </w:r>
      <w:r>
        <w:rPr>
          <w:rFonts w:ascii="Arial" w:hAnsi="Arial" w:cs="Arial"/>
        </w:rPr>
        <w:t>son rythme de hausse se trouve quasiment divisé par deux en l’espace d’un an, pénalisé par la rénovation du logement, passée de +2,2 % en 2023 à seulement +0,8 % en 2024. Ce tassement doit beaucoup à</w:t>
      </w:r>
      <w:r w:rsidDel="00181612">
        <w:rPr>
          <w:rFonts w:ascii="Arial" w:hAnsi="Arial" w:cs="Arial"/>
        </w:rPr>
        <w:t xml:space="preserve"> </w:t>
      </w:r>
      <w:r>
        <w:rPr>
          <w:rFonts w:ascii="Arial" w:hAnsi="Arial" w:cs="Arial"/>
        </w:rPr>
        <w:t xml:space="preserve">la réforme ratée de MaPrimeRénov’, qui a entravé très lourdement la rénovation énergétique sur le premier semestre, divisant par quatre son rythme de progression sur l’ensemble de l’année. Y contribue aussi la poursuite de la baisse des transactions de logements anciens, </w:t>
      </w:r>
      <w:r w:rsidR="004C0CD0">
        <w:rPr>
          <w:rFonts w:ascii="Arial" w:hAnsi="Arial" w:cs="Arial"/>
        </w:rPr>
        <w:t>d’un peu moins de</w:t>
      </w:r>
      <w:r>
        <w:rPr>
          <w:rFonts w:ascii="Arial" w:hAnsi="Arial" w:cs="Arial"/>
        </w:rPr>
        <w:t xml:space="preserve"> 1</w:t>
      </w:r>
      <w:r w:rsidR="00761510">
        <w:rPr>
          <w:rFonts w:ascii="Arial" w:hAnsi="Arial" w:cs="Arial"/>
        </w:rPr>
        <w:t>5</w:t>
      </w:r>
      <w:r>
        <w:rPr>
          <w:rFonts w:ascii="Arial" w:hAnsi="Arial" w:cs="Arial"/>
        </w:rPr>
        <w:t xml:space="preserve"> % en 2024, pour atteindre </w:t>
      </w:r>
      <w:r w:rsidR="00761510">
        <w:rPr>
          <w:rFonts w:ascii="Arial" w:hAnsi="Arial" w:cs="Arial"/>
        </w:rPr>
        <w:t>750 000</w:t>
      </w:r>
      <w:r>
        <w:rPr>
          <w:rFonts w:ascii="Arial" w:hAnsi="Arial" w:cs="Arial"/>
        </w:rPr>
        <w:t xml:space="preserve"> unités, bien loin des 1</w:t>
      </w:r>
      <w:r w:rsidR="00601B7E">
        <w:rPr>
          <w:rFonts w:ascii="Arial" w:hAnsi="Arial" w:cs="Arial"/>
        </w:rPr>
        <w:t> </w:t>
      </w:r>
      <w:r>
        <w:rPr>
          <w:rFonts w:ascii="Arial" w:hAnsi="Arial" w:cs="Arial"/>
        </w:rPr>
        <w:t>200</w:t>
      </w:r>
      <w:r w:rsidR="00601B7E">
        <w:rPr>
          <w:rFonts w:ascii="Arial" w:hAnsi="Arial" w:cs="Arial"/>
        </w:rPr>
        <w:t> </w:t>
      </w:r>
      <w:r>
        <w:rPr>
          <w:rFonts w:ascii="Arial" w:hAnsi="Arial" w:cs="Arial"/>
        </w:rPr>
        <w:t>000 recensées en 2021. En revanche, la rénovation dans le non résidentiel a conservé un rythme de plus de 2 % l’an, en lien avec les premiers effets de l’audit tertiaire et du programme de rénovation énergétique des écoles.</w:t>
      </w:r>
    </w:p>
    <w:p w14:paraId="45999E0A" w14:textId="21388B37" w:rsidR="00F77E6A" w:rsidRPr="00B724B9" w:rsidRDefault="00F77E6A" w:rsidP="00F77E6A">
      <w:pPr>
        <w:spacing w:after="0" w:line="360" w:lineRule="auto"/>
        <w:jc w:val="center"/>
        <w:rPr>
          <w:rFonts w:ascii="Arial" w:hAnsi="Arial" w:cs="Arial"/>
          <w:i/>
          <w:iCs/>
        </w:rPr>
      </w:pPr>
      <w:r w:rsidRPr="00B724B9">
        <w:rPr>
          <w:rFonts w:ascii="Arial" w:hAnsi="Arial" w:cs="Arial"/>
        </w:rPr>
        <w:lastRenderedPageBreak/>
        <w:t xml:space="preserve">Graphique 6 – </w:t>
      </w:r>
      <w:r w:rsidRPr="00B724B9">
        <w:rPr>
          <w:rFonts w:ascii="Arial" w:hAnsi="Arial" w:cs="Arial"/>
          <w:b/>
          <w:bCs/>
        </w:rPr>
        <w:t>Activité en amélioration-entretien</w:t>
      </w:r>
      <w:r w:rsidRPr="00076362">
        <w:rPr>
          <w:rFonts w:ascii="Arial" w:hAnsi="Arial" w:cs="Arial"/>
          <w:i/>
          <w:iCs/>
        </w:rPr>
        <w:t xml:space="preserve"> </w:t>
      </w:r>
      <w:r w:rsidR="00145852" w:rsidRPr="00145852">
        <w:rPr>
          <w:rFonts w:ascii="Arial" w:hAnsi="Arial" w:cs="Arial"/>
          <w:i/>
          <w:iCs/>
          <w:noProof/>
        </w:rPr>
        <w:drawing>
          <wp:inline distT="0" distB="0" distL="0" distR="0" wp14:anchorId="4BF22DEB" wp14:editId="6DD17503">
            <wp:extent cx="5760720" cy="3064510"/>
            <wp:effectExtent l="0" t="0" r="0" b="2540"/>
            <wp:docPr id="204423095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064510"/>
                    </a:xfrm>
                    <a:prstGeom prst="rect">
                      <a:avLst/>
                    </a:prstGeom>
                    <a:noFill/>
                    <a:ln>
                      <a:noFill/>
                    </a:ln>
                  </pic:spPr>
                </pic:pic>
              </a:graphicData>
            </a:graphic>
          </wp:inline>
        </w:drawing>
      </w:r>
    </w:p>
    <w:p w14:paraId="3150BC07" w14:textId="77777777" w:rsidR="00F77E6A" w:rsidRPr="00B724B9" w:rsidRDefault="00F77E6A" w:rsidP="00F77E6A">
      <w:pPr>
        <w:spacing w:after="0" w:line="360" w:lineRule="auto"/>
        <w:jc w:val="center"/>
        <w:rPr>
          <w:rFonts w:ascii="Arial" w:hAnsi="Arial" w:cs="Arial"/>
          <w:i/>
          <w:iCs/>
          <w:sz w:val="20"/>
          <w:szCs w:val="20"/>
        </w:rPr>
      </w:pPr>
      <w:r w:rsidRPr="00B724B9">
        <w:rPr>
          <w:rFonts w:ascii="Arial" w:hAnsi="Arial" w:cs="Arial"/>
          <w:i/>
          <w:iCs/>
          <w:sz w:val="20"/>
          <w:szCs w:val="20"/>
        </w:rPr>
        <w:t>Source : FFB à partir de Réseau des C</w:t>
      </w:r>
      <w:r>
        <w:rPr>
          <w:rFonts w:ascii="Arial" w:hAnsi="Arial" w:cs="Arial"/>
          <w:i/>
          <w:iCs/>
          <w:sz w:val="20"/>
          <w:szCs w:val="20"/>
        </w:rPr>
        <w:t>ERC</w:t>
      </w:r>
    </w:p>
    <w:p w14:paraId="014A1C95" w14:textId="77777777" w:rsidR="00F77E6A" w:rsidRPr="00B724B9" w:rsidRDefault="00F77E6A" w:rsidP="00F77E6A">
      <w:pPr>
        <w:spacing w:before="240" w:after="120" w:line="360" w:lineRule="auto"/>
        <w:rPr>
          <w:rFonts w:ascii="Arial" w:hAnsi="Arial" w:cs="Arial"/>
          <w:i/>
          <w:iCs/>
        </w:rPr>
      </w:pPr>
      <w:r w:rsidRPr="00B724B9">
        <w:rPr>
          <w:rFonts w:ascii="Arial" w:hAnsi="Arial" w:cs="Arial"/>
          <w:i/>
          <w:iCs/>
        </w:rPr>
        <w:t xml:space="preserve">1.2.4. Le bâtiment </w:t>
      </w:r>
    </w:p>
    <w:p w14:paraId="133730E9" w14:textId="77777777" w:rsidR="00F77E6A" w:rsidRDefault="00F77E6A" w:rsidP="00F77E6A">
      <w:pPr>
        <w:spacing w:line="360" w:lineRule="auto"/>
        <w:jc w:val="both"/>
        <w:rPr>
          <w:rFonts w:ascii="Arial" w:hAnsi="Arial" w:cs="Arial"/>
        </w:rPr>
      </w:pPr>
      <w:r w:rsidRPr="00B724B9">
        <w:rPr>
          <w:rFonts w:ascii="Arial" w:hAnsi="Arial" w:cs="Arial"/>
        </w:rPr>
        <w:t xml:space="preserve">En 2024, la production bâtiment recule de 6,6 % hors effet prix (cf. graphique 7), </w:t>
      </w:r>
      <w:r>
        <w:rPr>
          <w:rFonts w:ascii="Arial" w:hAnsi="Arial" w:cs="Arial"/>
        </w:rPr>
        <w:t xml:space="preserve">accentuant </w:t>
      </w:r>
      <w:r w:rsidRPr="00B724B9">
        <w:rPr>
          <w:rFonts w:ascii="Arial" w:hAnsi="Arial" w:cs="Arial"/>
        </w:rPr>
        <w:t>nette</w:t>
      </w:r>
      <w:r>
        <w:rPr>
          <w:rFonts w:ascii="Arial" w:hAnsi="Arial" w:cs="Arial"/>
        </w:rPr>
        <w:t>ment</w:t>
      </w:r>
      <w:r w:rsidRPr="00B724B9" w:rsidDel="00181612">
        <w:rPr>
          <w:rFonts w:ascii="Arial" w:hAnsi="Arial" w:cs="Arial"/>
        </w:rPr>
        <w:t xml:space="preserve"> </w:t>
      </w:r>
      <w:r w:rsidRPr="00B724B9">
        <w:rPr>
          <w:rFonts w:ascii="Arial" w:hAnsi="Arial" w:cs="Arial"/>
        </w:rPr>
        <w:t xml:space="preserve">l'érosion </w:t>
      </w:r>
      <w:r>
        <w:rPr>
          <w:rFonts w:ascii="Arial" w:hAnsi="Arial" w:cs="Arial"/>
        </w:rPr>
        <w:t>de</w:t>
      </w:r>
      <w:r w:rsidRPr="00B724B9">
        <w:rPr>
          <w:rFonts w:ascii="Arial" w:hAnsi="Arial" w:cs="Arial"/>
        </w:rPr>
        <w:t xml:space="preserve"> 0,9 % </w:t>
      </w:r>
      <w:r>
        <w:rPr>
          <w:rFonts w:ascii="Arial" w:hAnsi="Arial" w:cs="Arial"/>
        </w:rPr>
        <w:t>observée l’année précédente</w:t>
      </w:r>
      <w:r w:rsidRPr="00B724B9">
        <w:rPr>
          <w:rFonts w:ascii="Arial" w:hAnsi="Arial" w:cs="Arial"/>
        </w:rPr>
        <w:t xml:space="preserve">. </w:t>
      </w:r>
      <w:r>
        <w:rPr>
          <w:rFonts w:ascii="Arial" w:hAnsi="Arial" w:cs="Arial"/>
        </w:rPr>
        <w:t>De fait, l</w:t>
      </w:r>
      <w:r w:rsidRPr="00B724B9">
        <w:rPr>
          <w:rFonts w:ascii="Arial" w:hAnsi="Arial" w:cs="Arial"/>
        </w:rPr>
        <w:t xml:space="preserve">a </w:t>
      </w:r>
      <w:r>
        <w:rPr>
          <w:rFonts w:ascii="Arial" w:hAnsi="Arial" w:cs="Arial"/>
        </w:rPr>
        <w:t xml:space="preserve">modeste </w:t>
      </w:r>
      <w:r w:rsidRPr="00B724B9">
        <w:rPr>
          <w:rFonts w:ascii="Arial" w:hAnsi="Arial" w:cs="Arial"/>
        </w:rPr>
        <w:t xml:space="preserve">progression de l’amélioration-entretien de 1,2 % ne suffit </w:t>
      </w:r>
      <w:r>
        <w:rPr>
          <w:rFonts w:ascii="Arial" w:hAnsi="Arial" w:cs="Arial"/>
        </w:rPr>
        <w:t xml:space="preserve">pas </w:t>
      </w:r>
      <w:r w:rsidRPr="00B724B9">
        <w:rPr>
          <w:rFonts w:ascii="Arial" w:hAnsi="Arial" w:cs="Arial"/>
        </w:rPr>
        <w:t>à compenser l’e</w:t>
      </w:r>
      <w:r>
        <w:rPr>
          <w:rFonts w:ascii="Arial" w:hAnsi="Arial" w:cs="Arial"/>
        </w:rPr>
        <w:t>ffondrement</w:t>
      </w:r>
      <w:r w:rsidRPr="00B724B9">
        <w:rPr>
          <w:rFonts w:ascii="Arial" w:hAnsi="Arial" w:cs="Arial"/>
        </w:rPr>
        <w:t xml:space="preserve"> du logement neuf (-21,9 %) et l</w:t>
      </w:r>
      <w:r>
        <w:rPr>
          <w:rFonts w:ascii="Arial" w:hAnsi="Arial" w:cs="Arial"/>
        </w:rPr>
        <w:t>a chute</w:t>
      </w:r>
      <w:r w:rsidRPr="00B724B9">
        <w:rPr>
          <w:rFonts w:ascii="Arial" w:hAnsi="Arial" w:cs="Arial"/>
        </w:rPr>
        <w:t xml:space="preserve"> du non résidentiel neuf (-7,4 %). </w:t>
      </w:r>
    </w:p>
    <w:p w14:paraId="475C17A3" w14:textId="77777777" w:rsidR="00F77E6A" w:rsidRPr="00B724B9" w:rsidRDefault="00F77E6A" w:rsidP="00F77E6A">
      <w:pPr>
        <w:spacing w:after="0" w:line="360" w:lineRule="auto"/>
        <w:jc w:val="center"/>
        <w:rPr>
          <w:rFonts w:ascii="Arial" w:hAnsi="Arial" w:cs="Arial"/>
          <w:b/>
          <w:bCs/>
        </w:rPr>
      </w:pPr>
      <w:r w:rsidRPr="00B724B9">
        <w:rPr>
          <w:rFonts w:ascii="Arial" w:hAnsi="Arial" w:cs="Arial"/>
        </w:rPr>
        <w:t xml:space="preserve">Graphique 7 – </w:t>
      </w:r>
      <w:r w:rsidRPr="00B724B9">
        <w:rPr>
          <w:rFonts w:ascii="Arial" w:hAnsi="Arial" w:cs="Arial"/>
          <w:b/>
          <w:bCs/>
        </w:rPr>
        <w:t>Production et emploi dans le bâtiment</w:t>
      </w:r>
    </w:p>
    <w:p w14:paraId="3303A803" w14:textId="77777777" w:rsidR="00F77E6A" w:rsidRPr="00B724B9" w:rsidRDefault="00F77E6A" w:rsidP="00F77E6A">
      <w:pPr>
        <w:spacing w:after="0" w:line="360" w:lineRule="auto"/>
        <w:jc w:val="center"/>
        <w:rPr>
          <w:rFonts w:ascii="Arial" w:hAnsi="Arial" w:cs="Arial"/>
          <w:b/>
          <w:bCs/>
        </w:rPr>
      </w:pPr>
      <w:r w:rsidRPr="00D20934">
        <w:rPr>
          <w:rFonts w:ascii="Arial" w:hAnsi="Arial" w:cs="Arial"/>
          <w:b/>
          <w:bCs/>
          <w:noProof/>
        </w:rPr>
        <w:drawing>
          <wp:inline distT="0" distB="0" distL="0" distR="0" wp14:anchorId="54FC6525" wp14:editId="71C1184D">
            <wp:extent cx="5760720" cy="3064510"/>
            <wp:effectExtent l="0" t="0" r="0" b="2540"/>
            <wp:docPr id="198615917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064510"/>
                    </a:xfrm>
                    <a:prstGeom prst="rect">
                      <a:avLst/>
                    </a:prstGeom>
                    <a:noFill/>
                    <a:ln>
                      <a:noFill/>
                    </a:ln>
                  </pic:spPr>
                </pic:pic>
              </a:graphicData>
            </a:graphic>
          </wp:inline>
        </w:drawing>
      </w:r>
    </w:p>
    <w:p w14:paraId="2E514A84" w14:textId="77777777" w:rsidR="00F77E6A" w:rsidRPr="00B724B9" w:rsidRDefault="00F77E6A" w:rsidP="00F77E6A">
      <w:pPr>
        <w:spacing w:line="360" w:lineRule="auto"/>
        <w:jc w:val="center"/>
        <w:rPr>
          <w:rFonts w:ascii="Arial" w:hAnsi="Arial" w:cs="Arial"/>
          <w:i/>
          <w:iCs/>
          <w:sz w:val="20"/>
          <w:szCs w:val="20"/>
        </w:rPr>
      </w:pPr>
      <w:r w:rsidRPr="00B724B9">
        <w:rPr>
          <w:rFonts w:ascii="Arial" w:hAnsi="Arial" w:cs="Arial"/>
          <w:i/>
          <w:iCs/>
          <w:sz w:val="20"/>
          <w:szCs w:val="20"/>
        </w:rPr>
        <w:t>Source : FFB</w:t>
      </w:r>
    </w:p>
    <w:p w14:paraId="7FA4721B" w14:textId="57BAE299" w:rsidR="00F77E6A" w:rsidRPr="00B724B9" w:rsidRDefault="00F77E6A" w:rsidP="00F77E6A">
      <w:pPr>
        <w:spacing w:after="120" w:line="360" w:lineRule="auto"/>
        <w:jc w:val="both"/>
        <w:rPr>
          <w:rFonts w:ascii="Arial" w:hAnsi="Arial" w:cs="Arial"/>
        </w:rPr>
      </w:pPr>
      <w:r>
        <w:rPr>
          <w:rFonts w:ascii="Arial" w:hAnsi="Arial" w:cs="Arial"/>
        </w:rPr>
        <w:lastRenderedPageBreak/>
        <w:t>Quant à l’emploi</w:t>
      </w:r>
      <w:r w:rsidRPr="00B724B9">
        <w:rPr>
          <w:rFonts w:ascii="Arial" w:hAnsi="Arial" w:cs="Arial"/>
        </w:rPr>
        <w:t>, l</w:t>
      </w:r>
      <w:r>
        <w:rPr>
          <w:rFonts w:ascii="Arial" w:hAnsi="Arial" w:cs="Arial"/>
        </w:rPr>
        <w:t>’amorce de</w:t>
      </w:r>
      <w:r w:rsidRPr="00B724B9">
        <w:rPr>
          <w:rFonts w:ascii="Arial" w:hAnsi="Arial" w:cs="Arial"/>
        </w:rPr>
        <w:t xml:space="preserve"> baisse observée </w:t>
      </w:r>
      <w:r>
        <w:rPr>
          <w:rFonts w:ascii="Arial" w:hAnsi="Arial" w:cs="Arial"/>
        </w:rPr>
        <w:t>en</w:t>
      </w:r>
      <w:r w:rsidRPr="00B724B9">
        <w:rPr>
          <w:rFonts w:ascii="Arial" w:hAnsi="Arial" w:cs="Arial"/>
        </w:rPr>
        <w:t xml:space="preserve"> 2023 s'</w:t>
      </w:r>
      <w:r>
        <w:rPr>
          <w:rFonts w:ascii="Arial" w:hAnsi="Arial" w:cs="Arial"/>
        </w:rPr>
        <w:t xml:space="preserve">est </w:t>
      </w:r>
      <w:r w:rsidRPr="00B724B9">
        <w:rPr>
          <w:rFonts w:ascii="Arial" w:hAnsi="Arial" w:cs="Arial"/>
        </w:rPr>
        <w:t>accentu</w:t>
      </w:r>
      <w:r>
        <w:rPr>
          <w:rFonts w:ascii="Arial" w:hAnsi="Arial" w:cs="Arial"/>
        </w:rPr>
        <w:t>é</w:t>
      </w:r>
      <w:r w:rsidRPr="00B724B9">
        <w:rPr>
          <w:rFonts w:ascii="Arial" w:hAnsi="Arial" w:cs="Arial"/>
        </w:rPr>
        <w:t>e en 2024.</w:t>
      </w:r>
      <w:r>
        <w:rPr>
          <w:rFonts w:ascii="Arial" w:hAnsi="Arial" w:cs="Arial"/>
        </w:rPr>
        <w:t xml:space="preserve"> </w:t>
      </w:r>
      <w:r w:rsidRPr="00B724B9">
        <w:rPr>
          <w:rFonts w:ascii="Arial" w:hAnsi="Arial" w:cs="Arial"/>
        </w:rPr>
        <w:t>En moyenne</w:t>
      </w:r>
      <w:r>
        <w:rPr>
          <w:rFonts w:ascii="Arial" w:hAnsi="Arial" w:cs="Arial"/>
        </w:rPr>
        <w:t xml:space="preserve"> </w:t>
      </w:r>
      <w:r w:rsidRPr="00B724B9">
        <w:rPr>
          <w:rFonts w:ascii="Arial" w:hAnsi="Arial" w:cs="Arial"/>
        </w:rPr>
        <w:t xml:space="preserve">sur </w:t>
      </w:r>
      <w:r>
        <w:rPr>
          <w:rFonts w:ascii="Arial" w:hAnsi="Arial" w:cs="Arial"/>
        </w:rPr>
        <w:t xml:space="preserve">l’ensemble de </w:t>
      </w:r>
      <w:r w:rsidRPr="00B724B9">
        <w:rPr>
          <w:rFonts w:ascii="Arial" w:hAnsi="Arial" w:cs="Arial"/>
        </w:rPr>
        <w:t xml:space="preserve">l'année, </w:t>
      </w:r>
      <w:r>
        <w:rPr>
          <w:rFonts w:ascii="Arial" w:hAnsi="Arial" w:cs="Arial"/>
        </w:rPr>
        <w:t xml:space="preserve">après </w:t>
      </w:r>
      <w:r w:rsidRPr="00B724B9">
        <w:rPr>
          <w:rFonts w:ascii="Arial" w:hAnsi="Arial" w:cs="Arial"/>
        </w:rPr>
        <w:t>6</w:t>
      </w:r>
      <w:r>
        <w:rPr>
          <w:rFonts w:ascii="Arial" w:hAnsi="Arial" w:cs="Arial"/>
        </w:rPr>
        <w:t> </w:t>
      </w:r>
      <w:r w:rsidRPr="00B724B9">
        <w:rPr>
          <w:rFonts w:ascii="Arial" w:hAnsi="Arial" w:cs="Arial"/>
        </w:rPr>
        <w:t>500 postes salariés et intérimaires en équivalent temps plein (ETP)</w:t>
      </w:r>
      <w:r>
        <w:rPr>
          <w:rFonts w:ascii="Arial" w:hAnsi="Arial" w:cs="Arial"/>
        </w:rPr>
        <w:t xml:space="preserve"> perdus en 2023</w:t>
      </w:r>
      <w:r w:rsidRPr="00B724B9">
        <w:rPr>
          <w:rFonts w:ascii="Arial" w:hAnsi="Arial" w:cs="Arial"/>
        </w:rPr>
        <w:t>, le recul atteint 30</w:t>
      </w:r>
      <w:r>
        <w:rPr>
          <w:rFonts w:ascii="Arial" w:hAnsi="Arial" w:cs="Arial"/>
        </w:rPr>
        <w:t> </w:t>
      </w:r>
      <w:r w:rsidRPr="00B724B9">
        <w:rPr>
          <w:rFonts w:ascii="Arial" w:hAnsi="Arial" w:cs="Arial"/>
        </w:rPr>
        <w:t>000</w:t>
      </w:r>
      <w:r>
        <w:rPr>
          <w:rFonts w:ascii="Arial" w:hAnsi="Arial" w:cs="Arial"/>
        </w:rPr>
        <w:t xml:space="preserve"> unités en 2024</w:t>
      </w:r>
      <w:r w:rsidRPr="00B724B9">
        <w:rPr>
          <w:rFonts w:ascii="Arial" w:hAnsi="Arial" w:cs="Arial"/>
        </w:rPr>
        <w:t>.</w:t>
      </w:r>
      <w:r>
        <w:rPr>
          <w:rFonts w:ascii="Arial" w:hAnsi="Arial" w:cs="Arial"/>
        </w:rPr>
        <w:t xml:space="preserve"> Toutefois, ce repli de « seulement » 2</w:t>
      </w:r>
      <w:r w:rsidR="006B5502">
        <w:rPr>
          <w:rFonts w:ascii="Arial" w:hAnsi="Arial" w:cs="Arial"/>
        </w:rPr>
        <w:t>,2</w:t>
      </w:r>
      <w:r>
        <w:rPr>
          <w:rFonts w:ascii="Arial" w:hAnsi="Arial" w:cs="Arial"/>
        </w:rPr>
        <w:t> % ressort bien plus contenu que la chute de l’activité, dégradant encore un peu plus la productivité du secteur.</w:t>
      </w:r>
    </w:p>
    <w:p w14:paraId="62BA72F0" w14:textId="77777777" w:rsidR="00F77E6A" w:rsidRPr="00257C3C" w:rsidRDefault="00F77E6A" w:rsidP="00F77E6A">
      <w:pPr>
        <w:spacing w:before="360" w:after="120" w:line="360" w:lineRule="auto"/>
        <w:rPr>
          <w:rFonts w:ascii="Arial" w:hAnsi="Arial" w:cs="Arial"/>
          <w:u w:val="single"/>
        </w:rPr>
      </w:pPr>
      <w:r w:rsidRPr="00257C3C">
        <w:rPr>
          <w:rFonts w:ascii="Arial" w:hAnsi="Arial" w:cs="Arial"/>
          <w:u w:val="single"/>
        </w:rPr>
        <w:t xml:space="preserve">1.3 La situation des entreprises </w:t>
      </w:r>
    </w:p>
    <w:p w14:paraId="25D84837" w14:textId="77777777" w:rsidR="00F77E6A" w:rsidRPr="00B724B9" w:rsidRDefault="00F77E6A" w:rsidP="00F77E6A">
      <w:pPr>
        <w:spacing w:line="312" w:lineRule="auto"/>
        <w:rPr>
          <w:rFonts w:ascii="Arial" w:hAnsi="Arial" w:cs="Arial"/>
          <w:i/>
          <w:iCs/>
        </w:rPr>
      </w:pPr>
      <w:r w:rsidRPr="00B724B9">
        <w:rPr>
          <w:rFonts w:ascii="Arial" w:hAnsi="Arial" w:cs="Arial"/>
          <w:i/>
          <w:iCs/>
        </w:rPr>
        <w:t>1.3.1 En termes de démographie</w:t>
      </w:r>
    </w:p>
    <w:p w14:paraId="75573673" w14:textId="776E363B" w:rsidR="00F77E6A" w:rsidRPr="00B724B9" w:rsidRDefault="00F77E6A" w:rsidP="00F77E6A">
      <w:pPr>
        <w:spacing w:after="120" w:line="360" w:lineRule="auto"/>
        <w:jc w:val="both"/>
        <w:rPr>
          <w:rFonts w:ascii="Arial" w:hAnsi="Arial" w:cs="Arial"/>
        </w:rPr>
      </w:pPr>
      <w:r w:rsidRPr="00B724B9">
        <w:rPr>
          <w:rFonts w:ascii="Arial" w:hAnsi="Arial" w:cs="Arial"/>
        </w:rPr>
        <w:t xml:space="preserve">Après avoir connu une chute de 16,9 % en 2023, les créations d’entreprises dans la construction, hors micro-entrepreneurs, se </w:t>
      </w:r>
      <w:r>
        <w:rPr>
          <w:rFonts w:ascii="Arial" w:hAnsi="Arial" w:cs="Arial"/>
        </w:rPr>
        <w:t>maintiennent en</w:t>
      </w:r>
      <w:r w:rsidRPr="00B724B9">
        <w:rPr>
          <w:rFonts w:ascii="Arial" w:hAnsi="Arial" w:cs="Arial"/>
        </w:rPr>
        <w:t xml:space="preserve"> 2024 (cf. graphique 8)</w:t>
      </w:r>
      <w:r>
        <w:rPr>
          <w:rFonts w:ascii="Arial" w:hAnsi="Arial" w:cs="Arial"/>
        </w:rPr>
        <w:t>, aux environs de 37 000 unités sur l’année, niveau un peu au-dessus de celui des années 2015 (34 000) et 2016 (35 200)</w:t>
      </w:r>
      <w:r w:rsidRPr="00B724B9">
        <w:rPr>
          <w:rFonts w:ascii="Arial" w:hAnsi="Arial" w:cs="Arial"/>
        </w:rPr>
        <w:t xml:space="preserve">. </w:t>
      </w:r>
      <w:r>
        <w:rPr>
          <w:rFonts w:ascii="Arial" w:hAnsi="Arial" w:cs="Arial"/>
        </w:rPr>
        <w:t>Toutefois, la fin de l’année marque un fléchissement violent, aux environs de -20 % sur un an, probablement en lien avec le décrochage de l’activité.</w:t>
      </w:r>
    </w:p>
    <w:p w14:paraId="2DD0DD21" w14:textId="77777777" w:rsidR="00F77E6A" w:rsidRPr="00B724B9" w:rsidRDefault="00F77E6A" w:rsidP="00F77E6A">
      <w:pPr>
        <w:spacing w:after="0" w:line="360" w:lineRule="auto"/>
        <w:jc w:val="center"/>
        <w:rPr>
          <w:rFonts w:ascii="Arial" w:hAnsi="Arial" w:cs="Arial"/>
        </w:rPr>
      </w:pPr>
      <w:r w:rsidRPr="00B724B9">
        <w:rPr>
          <w:rFonts w:ascii="Arial" w:hAnsi="Arial" w:cs="Arial"/>
        </w:rPr>
        <w:t xml:space="preserve">Graphique 8 – </w:t>
      </w:r>
      <w:r w:rsidRPr="00B724B9">
        <w:rPr>
          <w:rFonts w:ascii="Arial" w:hAnsi="Arial" w:cs="Arial"/>
          <w:b/>
          <w:bCs/>
        </w:rPr>
        <w:t>Créations et défaillances d’entreprises dans la construction</w:t>
      </w:r>
      <w:r w:rsidRPr="00D20934">
        <w:rPr>
          <w:rFonts w:ascii="Arial" w:hAnsi="Arial" w:cs="Arial"/>
        </w:rPr>
        <w:t xml:space="preserve"> </w:t>
      </w:r>
      <w:r w:rsidRPr="00D20934">
        <w:rPr>
          <w:rFonts w:ascii="Arial" w:hAnsi="Arial" w:cs="Arial"/>
          <w:noProof/>
        </w:rPr>
        <w:drawing>
          <wp:inline distT="0" distB="0" distL="0" distR="0" wp14:anchorId="17CE3657" wp14:editId="5D075E87">
            <wp:extent cx="5760720" cy="3064510"/>
            <wp:effectExtent l="0" t="0" r="0" b="2540"/>
            <wp:docPr id="58716273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064510"/>
                    </a:xfrm>
                    <a:prstGeom prst="rect">
                      <a:avLst/>
                    </a:prstGeom>
                    <a:noFill/>
                    <a:ln>
                      <a:noFill/>
                    </a:ln>
                  </pic:spPr>
                </pic:pic>
              </a:graphicData>
            </a:graphic>
          </wp:inline>
        </w:drawing>
      </w:r>
    </w:p>
    <w:p w14:paraId="40BFFE80" w14:textId="77777777" w:rsidR="00F77E6A" w:rsidRPr="00BD2F6B" w:rsidRDefault="00F77E6A" w:rsidP="00F77E6A">
      <w:pPr>
        <w:spacing w:after="120" w:line="360" w:lineRule="auto"/>
        <w:jc w:val="center"/>
        <w:rPr>
          <w:rFonts w:ascii="Arial" w:hAnsi="Arial" w:cs="Arial"/>
          <w:i/>
          <w:iCs/>
          <w:sz w:val="20"/>
          <w:szCs w:val="20"/>
        </w:rPr>
      </w:pPr>
      <w:r w:rsidRPr="00B724B9">
        <w:rPr>
          <w:rFonts w:ascii="Arial" w:hAnsi="Arial" w:cs="Arial"/>
          <w:i/>
          <w:iCs/>
          <w:sz w:val="20"/>
          <w:szCs w:val="20"/>
        </w:rPr>
        <w:t>Sources : Insee et Banque de France</w:t>
      </w:r>
    </w:p>
    <w:p w14:paraId="2093413B" w14:textId="0ACD98A7" w:rsidR="00F77E6A" w:rsidRDefault="00F77E6A" w:rsidP="00F77E6A">
      <w:pPr>
        <w:spacing w:after="120" w:line="360" w:lineRule="auto"/>
        <w:jc w:val="both"/>
        <w:rPr>
          <w:rFonts w:ascii="Arial" w:hAnsi="Arial" w:cs="Arial"/>
        </w:rPr>
      </w:pPr>
      <w:r>
        <w:rPr>
          <w:rFonts w:ascii="Arial" w:hAnsi="Arial" w:cs="Arial"/>
          <w:bCs/>
        </w:rPr>
        <w:t>Quant aux</w:t>
      </w:r>
      <w:r w:rsidRPr="00B724B9">
        <w:rPr>
          <w:rFonts w:ascii="Arial" w:hAnsi="Arial" w:cs="Arial"/>
          <w:bCs/>
        </w:rPr>
        <w:t xml:space="preserve"> défaillances de la construction, </w:t>
      </w:r>
      <w:r>
        <w:rPr>
          <w:rFonts w:ascii="Arial" w:hAnsi="Arial" w:cs="Arial"/>
          <w:bCs/>
        </w:rPr>
        <w:t xml:space="preserve">elles progressent d’environ 25 % en 2024, pour </w:t>
      </w:r>
      <w:r w:rsidR="006B5502">
        <w:rPr>
          <w:rFonts w:ascii="Arial" w:hAnsi="Arial" w:cs="Arial"/>
          <w:bCs/>
        </w:rPr>
        <w:t>s’approche du</w:t>
      </w:r>
      <w:r>
        <w:rPr>
          <w:rFonts w:ascii="Arial" w:hAnsi="Arial" w:cs="Arial"/>
          <w:bCs/>
        </w:rPr>
        <w:t xml:space="preserve"> niveau assez élevé de 2015. Plus précisément, selon les dernières données disponibles d’Altares,</w:t>
      </w:r>
      <w:r w:rsidRPr="00B724B9">
        <w:rPr>
          <w:rFonts w:ascii="Arial" w:hAnsi="Arial" w:cs="Arial"/>
          <w:bCs/>
        </w:rPr>
        <w:t xml:space="preserve"> </w:t>
      </w:r>
      <w:r>
        <w:rPr>
          <w:rFonts w:ascii="Arial" w:hAnsi="Arial" w:cs="Arial"/>
          <w:bCs/>
        </w:rPr>
        <w:t>le</w:t>
      </w:r>
      <w:r w:rsidRPr="00B724B9">
        <w:rPr>
          <w:rFonts w:ascii="Arial" w:hAnsi="Arial" w:cs="Arial"/>
          <w:bCs/>
        </w:rPr>
        <w:t xml:space="preserve"> bâtiment affiche une progression de 2</w:t>
      </w:r>
      <w:r>
        <w:rPr>
          <w:rFonts w:ascii="Arial" w:hAnsi="Arial" w:cs="Arial"/>
          <w:bCs/>
        </w:rPr>
        <w:t>3,2</w:t>
      </w:r>
      <w:r w:rsidRPr="00B724B9">
        <w:rPr>
          <w:rFonts w:ascii="Arial" w:hAnsi="Arial" w:cs="Arial"/>
          <w:bCs/>
        </w:rPr>
        <w:t xml:space="preserve"> % </w:t>
      </w:r>
      <w:r>
        <w:rPr>
          <w:rFonts w:ascii="Arial" w:hAnsi="Arial" w:cs="Arial"/>
          <w:bCs/>
        </w:rPr>
        <w:t>en glissement annuel sur onze mois à fin novembre 2024</w:t>
      </w:r>
      <w:r w:rsidRPr="00B724B9">
        <w:rPr>
          <w:rFonts w:ascii="Arial" w:hAnsi="Arial" w:cs="Arial"/>
          <w:bCs/>
        </w:rPr>
        <w:t>.</w:t>
      </w:r>
      <w:r w:rsidRPr="00B724B9">
        <w:rPr>
          <w:rFonts w:ascii="Arial" w:hAnsi="Arial" w:cs="Arial"/>
        </w:rPr>
        <w:t xml:space="preserve"> Le gros</w:t>
      </w:r>
      <w:r w:rsidR="006B5502">
        <w:rPr>
          <w:rFonts w:ascii="Arial" w:hAnsi="Arial" w:cs="Arial"/>
        </w:rPr>
        <w:t xml:space="preserve"> </w:t>
      </w:r>
      <w:r w:rsidRPr="00B724B9">
        <w:rPr>
          <w:rFonts w:ascii="Arial" w:hAnsi="Arial" w:cs="Arial"/>
        </w:rPr>
        <w:t>œuvre connaît la hausse la plus rapide, avec +</w:t>
      </w:r>
      <w:r>
        <w:rPr>
          <w:rFonts w:ascii="Arial" w:hAnsi="Arial" w:cs="Arial"/>
        </w:rPr>
        <w:t>25,9</w:t>
      </w:r>
      <w:r w:rsidRPr="00B724B9">
        <w:rPr>
          <w:rFonts w:ascii="Arial" w:hAnsi="Arial" w:cs="Arial"/>
        </w:rPr>
        <w:t> % contre +2</w:t>
      </w:r>
      <w:r>
        <w:rPr>
          <w:rFonts w:ascii="Arial" w:hAnsi="Arial" w:cs="Arial"/>
        </w:rPr>
        <w:t>1,6</w:t>
      </w:r>
      <w:r w:rsidRPr="00B724B9">
        <w:rPr>
          <w:rFonts w:ascii="Arial" w:hAnsi="Arial" w:cs="Arial"/>
        </w:rPr>
        <w:t> % pour le second œuvre. Au sein de ce dernier, le génie climatique enregistre le mouvement le plus marqué à +3</w:t>
      </w:r>
      <w:r>
        <w:rPr>
          <w:rFonts w:ascii="Arial" w:hAnsi="Arial" w:cs="Arial"/>
        </w:rPr>
        <w:t>2,0</w:t>
      </w:r>
      <w:r w:rsidRPr="00B724B9">
        <w:rPr>
          <w:rFonts w:ascii="Arial" w:hAnsi="Arial" w:cs="Arial"/>
        </w:rPr>
        <w:t> %.</w:t>
      </w:r>
    </w:p>
    <w:p w14:paraId="7EC4EB27" w14:textId="77777777" w:rsidR="008E3436" w:rsidRPr="00B724B9" w:rsidRDefault="008E3436" w:rsidP="00F77E6A">
      <w:pPr>
        <w:spacing w:after="120" w:line="360" w:lineRule="auto"/>
        <w:jc w:val="both"/>
        <w:rPr>
          <w:rFonts w:ascii="Arial" w:hAnsi="Arial" w:cs="Arial"/>
        </w:rPr>
      </w:pPr>
    </w:p>
    <w:p w14:paraId="4C3A27E9" w14:textId="77777777" w:rsidR="00F77E6A" w:rsidRPr="00B724B9" w:rsidRDefault="00F77E6A" w:rsidP="00F77E6A">
      <w:pPr>
        <w:spacing w:before="240" w:after="120" w:line="360" w:lineRule="auto"/>
        <w:rPr>
          <w:rFonts w:ascii="Arial" w:hAnsi="Arial" w:cs="Arial"/>
          <w:i/>
          <w:iCs/>
        </w:rPr>
      </w:pPr>
      <w:r w:rsidRPr="00B724B9">
        <w:rPr>
          <w:rFonts w:ascii="Arial" w:hAnsi="Arial" w:cs="Arial"/>
          <w:i/>
          <w:iCs/>
        </w:rPr>
        <w:lastRenderedPageBreak/>
        <w:t>1.3.2 En termes de situation financière</w:t>
      </w:r>
    </w:p>
    <w:p w14:paraId="6E19E750" w14:textId="2862111F" w:rsidR="00F77E6A" w:rsidRDefault="00F77E6A" w:rsidP="00F77E6A">
      <w:pPr>
        <w:spacing w:line="360" w:lineRule="auto"/>
        <w:jc w:val="both"/>
        <w:rPr>
          <w:rFonts w:ascii="Arial" w:hAnsi="Arial" w:cs="Arial"/>
          <w:bCs/>
        </w:rPr>
      </w:pPr>
      <w:r>
        <w:rPr>
          <w:rFonts w:ascii="Arial" w:hAnsi="Arial" w:cs="Arial"/>
        </w:rPr>
        <w:t>L</w:t>
      </w:r>
      <w:r w:rsidRPr="00FA15C8">
        <w:rPr>
          <w:rFonts w:ascii="Arial" w:hAnsi="Arial" w:cs="Arial"/>
        </w:rPr>
        <w:t>e secteur de la construction</w:t>
      </w:r>
      <w:r>
        <w:rPr>
          <w:rFonts w:ascii="Arial" w:hAnsi="Arial" w:cs="Arial"/>
        </w:rPr>
        <w:t>, particulièrement touché par la succession de</w:t>
      </w:r>
      <w:r w:rsidRPr="00FA15C8">
        <w:rPr>
          <w:rFonts w:ascii="Arial" w:hAnsi="Arial" w:cs="Arial"/>
        </w:rPr>
        <w:t xml:space="preserve"> crises</w:t>
      </w:r>
      <w:r>
        <w:rPr>
          <w:rFonts w:ascii="Arial" w:hAnsi="Arial" w:cs="Arial"/>
        </w:rPr>
        <w:t xml:space="preserve"> depuis plusieurs années (crise sanitaire, crise des matériaux et de l’énergie accentuée avec le déclenchement de la guerre en Ukraine, crise politique) ne parvient pas</w:t>
      </w:r>
      <w:r w:rsidRPr="00FA15C8">
        <w:rPr>
          <w:rFonts w:ascii="Arial" w:hAnsi="Arial" w:cs="Arial"/>
        </w:rPr>
        <w:t xml:space="preserve"> </w:t>
      </w:r>
      <w:r>
        <w:rPr>
          <w:rFonts w:ascii="Arial" w:hAnsi="Arial" w:cs="Arial"/>
        </w:rPr>
        <w:t xml:space="preserve">à </w:t>
      </w:r>
      <w:r w:rsidRPr="00FA15C8">
        <w:rPr>
          <w:rFonts w:ascii="Arial" w:hAnsi="Arial" w:cs="Arial"/>
        </w:rPr>
        <w:t xml:space="preserve">retrouver </w:t>
      </w:r>
      <w:r>
        <w:rPr>
          <w:rFonts w:ascii="Arial" w:hAnsi="Arial" w:cs="Arial"/>
        </w:rPr>
        <w:t xml:space="preserve">son taux de marge opérationnelle d’avant 2020. </w:t>
      </w:r>
      <w:r w:rsidRPr="00B724B9">
        <w:rPr>
          <w:rFonts w:ascii="Arial" w:hAnsi="Arial" w:cs="Arial"/>
          <w:bCs/>
        </w:rPr>
        <w:t xml:space="preserve">De fait, </w:t>
      </w:r>
      <w:r>
        <w:rPr>
          <w:rFonts w:ascii="Arial" w:hAnsi="Arial" w:cs="Arial"/>
          <w:bCs/>
        </w:rPr>
        <w:t>corrigé de la rémunération des chefs d’entreprise non salariés, il</w:t>
      </w:r>
      <w:r w:rsidRPr="00B724B9">
        <w:rPr>
          <w:rFonts w:ascii="Arial" w:hAnsi="Arial" w:cs="Arial"/>
          <w:bCs/>
        </w:rPr>
        <w:t xml:space="preserve"> s’établit </w:t>
      </w:r>
      <w:r>
        <w:rPr>
          <w:rFonts w:ascii="Arial" w:hAnsi="Arial" w:cs="Arial"/>
          <w:bCs/>
        </w:rPr>
        <w:t>en moyenne à 20,5</w:t>
      </w:r>
      <w:r w:rsidRPr="00B724B9">
        <w:rPr>
          <w:rFonts w:ascii="Arial" w:hAnsi="Arial" w:cs="Arial"/>
          <w:bCs/>
        </w:rPr>
        <w:t xml:space="preserve"> % </w:t>
      </w:r>
      <w:r>
        <w:rPr>
          <w:rFonts w:ascii="Arial" w:hAnsi="Arial" w:cs="Arial"/>
          <w:bCs/>
        </w:rPr>
        <w:t xml:space="preserve">sur l’année </w:t>
      </w:r>
      <w:r w:rsidRPr="00B724B9">
        <w:rPr>
          <w:rFonts w:ascii="Arial" w:hAnsi="Arial" w:cs="Arial"/>
          <w:bCs/>
        </w:rPr>
        <w:t>2024</w:t>
      </w:r>
      <w:r>
        <w:rPr>
          <w:rFonts w:ascii="Arial" w:hAnsi="Arial" w:cs="Arial"/>
          <w:bCs/>
        </w:rPr>
        <w:t>,</w:t>
      </w:r>
      <w:r w:rsidRPr="00B724B9">
        <w:rPr>
          <w:rFonts w:ascii="Arial" w:hAnsi="Arial" w:cs="Arial"/>
          <w:bCs/>
        </w:rPr>
        <w:t xml:space="preserve"> contre </w:t>
      </w:r>
      <w:r>
        <w:rPr>
          <w:rFonts w:ascii="Arial" w:hAnsi="Arial" w:cs="Arial"/>
          <w:bCs/>
        </w:rPr>
        <w:t>près de 23 % en 2019</w:t>
      </w:r>
      <w:r w:rsidRPr="00B724B9">
        <w:rPr>
          <w:rFonts w:ascii="Arial" w:hAnsi="Arial" w:cs="Arial"/>
          <w:bCs/>
        </w:rPr>
        <w:t xml:space="preserve"> (cf</w:t>
      </w:r>
      <w:r>
        <w:rPr>
          <w:rFonts w:ascii="Arial" w:hAnsi="Arial" w:cs="Arial"/>
          <w:bCs/>
        </w:rPr>
        <w:t>.</w:t>
      </w:r>
      <w:r w:rsidRPr="00B724B9">
        <w:rPr>
          <w:rFonts w:ascii="Arial" w:hAnsi="Arial" w:cs="Arial"/>
          <w:bCs/>
        </w:rPr>
        <w:t xml:space="preserve"> graphique 9).</w:t>
      </w:r>
    </w:p>
    <w:p w14:paraId="72CBE7D0" w14:textId="77777777" w:rsidR="00F77E6A" w:rsidRPr="00B724B9" w:rsidRDefault="00F77E6A" w:rsidP="00F77E6A">
      <w:pPr>
        <w:spacing w:after="0" w:line="360" w:lineRule="auto"/>
        <w:jc w:val="center"/>
        <w:rPr>
          <w:rFonts w:ascii="Arial" w:hAnsi="Arial" w:cs="Arial"/>
        </w:rPr>
      </w:pPr>
      <w:r w:rsidRPr="00B724B9">
        <w:rPr>
          <w:rFonts w:ascii="Arial" w:hAnsi="Arial" w:cs="Arial"/>
        </w:rPr>
        <w:t xml:space="preserve">Graphique 9 – </w:t>
      </w:r>
      <w:r w:rsidRPr="00B724B9">
        <w:rPr>
          <w:rFonts w:ascii="Arial" w:hAnsi="Arial" w:cs="Arial"/>
          <w:b/>
          <w:bCs/>
        </w:rPr>
        <w:t>Taux de marge opérationnelle corrigé de la rémunération des chefs d’entreprise non-salariés dans la construction</w:t>
      </w:r>
      <w:r w:rsidRPr="00D20934">
        <w:rPr>
          <w:rFonts w:ascii="Arial" w:hAnsi="Arial" w:cs="Arial"/>
        </w:rPr>
        <w:t xml:space="preserve"> </w:t>
      </w:r>
      <w:r w:rsidRPr="00D20934">
        <w:rPr>
          <w:rFonts w:ascii="Arial" w:hAnsi="Arial" w:cs="Arial"/>
          <w:noProof/>
        </w:rPr>
        <w:drawing>
          <wp:inline distT="0" distB="0" distL="0" distR="0" wp14:anchorId="7EC24059" wp14:editId="7D2B9854">
            <wp:extent cx="5760720" cy="3064510"/>
            <wp:effectExtent l="0" t="0" r="0" b="2540"/>
            <wp:docPr id="119342892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064510"/>
                    </a:xfrm>
                    <a:prstGeom prst="rect">
                      <a:avLst/>
                    </a:prstGeom>
                    <a:noFill/>
                    <a:ln>
                      <a:noFill/>
                    </a:ln>
                  </pic:spPr>
                </pic:pic>
              </a:graphicData>
            </a:graphic>
          </wp:inline>
        </w:drawing>
      </w:r>
    </w:p>
    <w:p w14:paraId="13890B3B" w14:textId="77777777" w:rsidR="00F77E6A" w:rsidRPr="00B724B9" w:rsidRDefault="00F77E6A" w:rsidP="00F77E6A">
      <w:pPr>
        <w:spacing w:line="360" w:lineRule="auto"/>
        <w:jc w:val="center"/>
        <w:rPr>
          <w:rFonts w:ascii="Arial" w:hAnsi="Arial" w:cs="Arial"/>
          <w:i/>
          <w:iCs/>
          <w:sz w:val="20"/>
          <w:szCs w:val="20"/>
        </w:rPr>
      </w:pPr>
      <w:r w:rsidRPr="00B724B9">
        <w:rPr>
          <w:rFonts w:ascii="Arial" w:hAnsi="Arial" w:cs="Arial"/>
          <w:i/>
          <w:iCs/>
          <w:sz w:val="20"/>
          <w:szCs w:val="20"/>
        </w:rPr>
        <w:t>Source : calculs FFB d’après Insee</w:t>
      </w:r>
    </w:p>
    <w:p w14:paraId="0B8082DF" w14:textId="7E43F50E" w:rsidR="00F77E6A" w:rsidRPr="00704F24" w:rsidRDefault="00F77E6A" w:rsidP="00F77E6A">
      <w:pPr>
        <w:spacing w:line="360" w:lineRule="auto"/>
        <w:jc w:val="both"/>
        <w:rPr>
          <w:rFonts w:ascii="Arial" w:hAnsi="Arial" w:cs="Arial"/>
        </w:rPr>
      </w:pPr>
      <w:r>
        <w:rPr>
          <w:rFonts w:ascii="Arial" w:hAnsi="Arial" w:cs="Arial"/>
        </w:rPr>
        <w:t xml:space="preserve">Enfin, du côté des coûts, le poste « salaires » décélère légèrement à un peu moins de 3 % en 2024, mais s’affiche au-delà de l’inflation (2 %). Quant au poste « matériaux », il </w:t>
      </w:r>
      <w:r w:rsidR="0026246D">
        <w:rPr>
          <w:rFonts w:ascii="Arial" w:hAnsi="Arial" w:cs="Arial"/>
        </w:rPr>
        <w:t>se</w:t>
      </w:r>
      <w:r>
        <w:rPr>
          <w:rFonts w:ascii="Arial" w:hAnsi="Arial" w:cs="Arial"/>
        </w:rPr>
        <w:t xml:space="preserve"> repli</w:t>
      </w:r>
      <w:r w:rsidR="0026246D">
        <w:rPr>
          <w:rFonts w:ascii="Arial" w:hAnsi="Arial" w:cs="Arial"/>
        </w:rPr>
        <w:t>e</w:t>
      </w:r>
      <w:r>
        <w:rPr>
          <w:rFonts w:ascii="Arial" w:hAnsi="Arial" w:cs="Arial"/>
        </w:rPr>
        <w:t xml:space="preserve"> </w:t>
      </w:r>
      <w:r w:rsidR="00DD4E7C">
        <w:rPr>
          <w:rFonts w:ascii="Arial" w:hAnsi="Arial" w:cs="Arial"/>
        </w:rPr>
        <w:t>de 2 %</w:t>
      </w:r>
      <w:r>
        <w:rPr>
          <w:rFonts w:ascii="Arial" w:hAnsi="Arial" w:cs="Arial"/>
        </w:rPr>
        <w:t xml:space="preserve"> au global, avec toutefois des disparités entre produits : </w:t>
      </w:r>
      <w:r w:rsidRPr="00704F24">
        <w:rPr>
          <w:rFonts w:ascii="Arial" w:hAnsi="Arial" w:cs="Arial"/>
        </w:rPr>
        <w:t>le PVC</w:t>
      </w:r>
      <w:r w:rsidR="0026246D">
        <w:rPr>
          <w:rFonts w:ascii="Arial" w:hAnsi="Arial" w:cs="Arial"/>
        </w:rPr>
        <w:t xml:space="preserve">, </w:t>
      </w:r>
      <w:r w:rsidRPr="00704F24">
        <w:rPr>
          <w:rFonts w:ascii="Arial" w:hAnsi="Arial" w:cs="Arial"/>
        </w:rPr>
        <w:t>les aciers</w:t>
      </w:r>
      <w:r w:rsidR="0026246D">
        <w:rPr>
          <w:rFonts w:ascii="Arial" w:hAnsi="Arial" w:cs="Arial"/>
        </w:rPr>
        <w:t xml:space="preserve">, </w:t>
      </w:r>
      <w:r w:rsidR="009168A5">
        <w:rPr>
          <w:rFonts w:ascii="Arial" w:hAnsi="Arial" w:cs="Arial"/>
        </w:rPr>
        <w:t xml:space="preserve">le verre, </w:t>
      </w:r>
      <w:r w:rsidR="0026246D">
        <w:rPr>
          <w:rFonts w:ascii="Arial" w:hAnsi="Arial" w:cs="Arial"/>
        </w:rPr>
        <w:t xml:space="preserve">les plastiques alvéolaires et les demi-produits en aluminium </w:t>
      </w:r>
      <w:r>
        <w:rPr>
          <w:rFonts w:ascii="Arial" w:hAnsi="Arial" w:cs="Arial"/>
        </w:rPr>
        <w:t xml:space="preserve">ressortent </w:t>
      </w:r>
      <w:r w:rsidRPr="00704F24">
        <w:rPr>
          <w:rFonts w:ascii="Arial" w:hAnsi="Arial" w:cs="Arial"/>
        </w:rPr>
        <w:t>en baisse, le béton prêt à l’emploi</w:t>
      </w:r>
      <w:r w:rsidR="0026246D">
        <w:rPr>
          <w:rFonts w:ascii="Arial" w:hAnsi="Arial" w:cs="Arial"/>
        </w:rPr>
        <w:t xml:space="preserve">, les demi-produits en cuivre ou alliage, </w:t>
      </w:r>
      <w:r w:rsidR="009168A5">
        <w:rPr>
          <w:rFonts w:ascii="Arial" w:hAnsi="Arial" w:cs="Arial"/>
        </w:rPr>
        <w:t xml:space="preserve">les tuiles ainsi que </w:t>
      </w:r>
      <w:r w:rsidR="0026246D">
        <w:rPr>
          <w:rFonts w:ascii="Arial" w:hAnsi="Arial" w:cs="Arial"/>
        </w:rPr>
        <w:t xml:space="preserve">les charpentes et menuiseries </w:t>
      </w:r>
      <w:r w:rsidR="0041364F">
        <w:rPr>
          <w:rFonts w:ascii="Arial" w:hAnsi="Arial" w:cs="Arial"/>
        </w:rPr>
        <w:t>en</w:t>
      </w:r>
      <w:r w:rsidR="0026246D">
        <w:rPr>
          <w:rFonts w:ascii="Arial" w:hAnsi="Arial" w:cs="Arial"/>
        </w:rPr>
        <w:t xml:space="preserve"> bois</w:t>
      </w:r>
      <w:r w:rsidRPr="00704F24">
        <w:rPr>
          <w:rFonts w:ascii="Arial" w:hAnsi="Arial" w:cs="Arial"/>
        </w:rPr>
        <w:t xml:space="preserve"> </w:t>
      </w:r>
      <w:r>
        <w:rPr>
          <w:rFonts w:ascii="Arial" w:hAnsi="Arial" w:cs="Arial"/>
        </w:rPr>
        <w:t>s’avère</w:t>
      </w:r>
      <w:r w:rsidR="0026246D">
        <w:rPr>
          <w:rFonts w:ascii="Arial" w:hAnsi="Arial" w:cs="Arial"/>
        </w:rPr>
        <w:t>nt</w:t>
      </w:r>
      <w:r>
        <w:rPr>
          <w:rFonts w:ascii="Arial" w:hAnsi="Arial" w:cs="Arial"/>
        </w:rPr>
        <w:t xml:space="preserve"> </w:t>
      </w:r>
      <w:r w:rsidR="009168A5">
        <w:rPr>
          <w:rFonts w:ascii="Arial" w:hAnsi="Arial" w:cs="Arial"/>
        </w:rPr>
        <w:t>quasi-</w:t>
      </w:r>
      <w:r w:rsidRPr="00704F24">
        <w:rPr>
          <w:rFonts w:ascii="Arial" w:hAnsi="Arial" w:cs="Arial"/>
        </w:rPr>
        <w:t>stable</w:t>
      </w:r>
      <w:r w:rsidR="00F95EEE">
        <w:rPr>
          <w:rFonts w:ascii="Arial" w:hAnsi="Arial" w:cs="Arial"/>
        </w:rPr>
        <w:t>s</w:t>
      </w:r>
      <w:r w:rsidR="0026246D">
        <w:rPr>
          <w:rFonts w:ascii="Arial" w:hAnsi="Arial" w:cs="Arial"/>
        </w:rPr>
        <w:t xml:space="preserve"> en moyenne sur l’ensemble de l’année</w:t>
      </w:r>
      <w:r w:rsidR="009168A5">
        <w:rPr>
          <w:rFonts w:ascii="Arial" w:hAnsi="Arial" w:cs="Arial"/>
        </w:rPr>
        <w:t xml:space="preserve"> par rapport à 2023</w:t>
      </w:r>
      <w:r w:rsidR="00F95EEE">
        <w:rPr>
          <w:rFonts w:ascii="Arial" w:hAnsi="Arial" w:cs="Arial"/>
        </w:rPr>
        <w:t xml:space="preserve"> (cf. graphique 10)</w:t>
      </w:r>
      <w:r>
        <w:rPr>
          <w:rFonts w:ascii="Arial" w:hAnsi="Arial" w:cs="Arial"/>
        </w:rPr>
        <w:t xml:space="preserve">. </w:t>
      </w:r>
    </w:p>
    <w:p w14:paraId="5C294D79" w14:textId="77777777" w:rsidR="00F77E6A" w:rsidRDefault="00F77E6A" w:rsidP="00F77E6A">
      <w:pPr>
        <w:rPr>
          <w:rFonts w:ascii="Arial" w:hAnsi="Arial" w:cs="Arial"/>
        </w:rPr>
      </w:pPr>
      <w:r>
        <w:rPr>
          <w:rFonts w:ascii="Arial" w:hAnsi="Arial" w:cs="Arial"/>
        </w:rPr>
        <w:br w:type="page"/>
      </w:r>
    </w:p>
    <w:p w14:paraId="378DF818" w14:textId="77777777" w:rsidR="00F77E6A" w:rsidRPr="00B724B9" w:rsidRDefault="00F77E6A" w:rsidP="00F77E6A">
      <w:pPr>
        <w:spacing w:after="0" w:line="360" w:lineRule="auto"/>
        <w:jc w:val="center"/>
        <w:rPr>
          <w:rFonts w:ascii="Arial" w:hAnsi="Arial" w:cs="Arial"/>
        </w:rPr>
      </w:pPr>
      <w:r w:rsidRPr="00B724B9">
        <w:rPr>
          <w:rFonts w:ascii="Arial" w:hAnsi="Arial" w:cs="Arial"/>
        </w:rPr>
        <w:lastRenderedPageBreak/>
        <w:t xml:space="preserve">Graphique 10 – </w:t>
      </w:r>
      <w:r w:rsidRPr="00B724B9">
        <w:rPr>
          <w:rFonts w:ascii="Arial" w:hAnsi="Arial" w:cs="Arial"/>
          <w:b/>
          <w:bCs/>
        </w:rPr>
        <w:t>Indices de prix de production de quelques matériaux pour le marché français</w:t>
      </w:r>
      <w:r w:rsidRPr="000C5820">
        <w:rPr>
          <w:rFonts w:ascii="Arial" w:hAnsi="Arial" w:cs="Arial"/>
        </w:rPr>
        <w:t xml:space="preserve"> </w:t>
      </w:r>
      <w:r w:rsidRPr="000C5820">
        <w:rPr>
          <w:rFonts w:ascii="Arial" w:hAnsi="Arial" w:cs="Arial"/>
          <w:noProof/>
        </w:rPr>
        <w:drawing>
          <wp:inline distT="0" distB="0" distL="0" distR="0" wp14:anchorId="0C7FD46A" wp14:editId="1F04B0C4">
            <wp:extent cx="5760720" cy="2912110"/>
            <wp:effectExtent l="0" t="0" r="0" b="2540"/>
            <wp:docPr id="867074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912110"/>
                    </a:xfrm>
                    <a:prstGeom prst="rect">
                      <a:avLst/>
                    </a:prstGeom>
                    <a:noFill/>
                    <a:ln>
                      <a:noFill/>
                    </a:ln>
                  </pic:spPr>
                </pic:pic>
              </a:graphicData>
            </a:graphic>
          </wp:inline>
        </w:drawing>
      </w:r>
    </w:p>
    <w:p w14:paraId="5C738217" w14:textId="77777777" w:rsidR="00F77E6A" w:rsidRDefault="00F77E6A" w:rsidP="00F77E6A">
      <w:pPr>
        <w:spacing w:line="312" w:lineRule="auto"/>
        <w:jc w:val="center"/>
        <w:rPr>
          <w:rFonts w:ascii="Arial" w:hAnsi="Arial" w:cs="Arial"/>
          <w:i/>
          <w:iCs/>
          <w:sz w:val="20"/>
          <w:szCs w:val="20"/>
        </w:rPr>
      </w:pPr>
      <w:r w:rsidRPr="00B724B9">
        <w:rPr>
          <w:rFonts w:ascii="Arial" w:hAnsi="Arial" w:cs="Arial"/>
          <w:i/>
          <w:iCs/>
          <w:sz w:val="20"/>
          <w:szCs w:val="20"/>
        </w:rPr>
        <w:t>Source : calculs FFB d’après Insee</w:t>
      </w:r>
    </w:p>
    <w:bookmarkEnd w:id="0"/>
    <w:p w14:paraId="5652903C" w14:textId="77777777" w:rsidR="00F77E6A" w:rsidRDefault="00F77E6A" w:rsidP="00F77E6A">
      <w:pPr>
        <w:spacing w:before="480" w:after="120" w:line="360" w:lineRule="auto"/>
        <w:rPr>
          <w:rFonts w:ascii="Arial" w:hAnsi="Arial" w:cs="Arial"/>
          <w:b/>
          <w:sz w:val="28"/>
          <w:szCs w:val="28"/>
          <w:u w:val="single"/>
        </w:rPr>
      </w:pPr>
      <w:r>
        <w:rPr>
          <w:rFonts w:ascii="Arial" w:hAnsi="Arial" w:cs="Arial"/>
          <w:b/>
          <w:sz w:val="28"/>
          <w:szCs w:val="28"/>
          <w:u w:val="single"/>
        </w:rPr>
        <w:t>2. Le contexte macroéconomique pour 2025</w:t>
      </w:r>
    </w:p>
    <w:p w14:paraId="38742C82" w14:textId="6909A36C" w:rsidR="00F77E6A" w:rsidRDefault="00F77E6A" w:rsidP="00F77E6A">
      <w:pPr>
        <w:spacing w:line="360" w:lineRule="auto"/>
        <w:jc w:val="both"/>
        <w:rPr>
          <w:rFonts w:ascii="Arial" w:hAnsi="Arial" w:cs="Arial"/>
        </w:rPr>
      </w:pPr>
      <w:r>
        <w:rPr>
          <w:rFonts w:ascii="Arial" w:hAnsi="Arial" w:cs="Arial"/>
        </w:rPr>
        <w:t>La censure du gouvernement Barnier votée en décembre 2024 a mis un terme définitif à l’adoption d’un projet de loi de finances (PLF) d’ici la fin de l’année. Cette décision provoque d’ores et déjà de l’attentisme pour la plupart des acteurs, qui continuera à faire sentir ses effets jusqu’au vote d’une nouvelle loi de finances, et donc pénalisera la croissance économique française en 2025. Dans ce cadre, la FFB retient une petite hausse du PIB limitée à 0,4 % en volume (cf. tableau 1), contre +1,0 % en 2024.</w:t>
      </w:r>
    </w:p>
    <w:p w14:paraId="5BDC417B" w14:textId="5BA61EDD" w:rsidR="00F77E6A" w:rsidRDefault="00F77E6A" w:rsidP="00F77E6A">
      <w:pPr>
        <w:spacing w:line="360" w:lineRule="auto"/>
        <w:jc w:val="both"/>
        <w:rPr>
          <w:rFonts w:ascii="Arial" w:hAnsi="Arial" w:cs="Arial"/>
        </w:rPr>
      </w:pPr>
      <w:r>
        <w:rPr>
          <w:rFonts w:ascii="Arial" w:hAnsi="Arial" w:cs="Arial"/>
        </w:rPr>
        <w:t>En détail, les dépenses de consommation des ménages resteraient épargnées par la situation politique actuelle, avec une légère accél</w:t>
      </w:r>
      <w:r w:rsidR="00BB7C94">
        <w:rPr>
          <w:rFonts w:ascii="Arial" w:hAnsi="Arial" w:cs="Arial"/>
        </w:rPr>
        <w:t>ération</w:t>
      </w:r>
      <w:r>
        <w:rPr>
          <w:rFonts w:ascii="Arial" w:hAnsi="Arial" w:cs="Arial"/>
        </w:rPr>
        <w:t xml:space="preserve"> à +1,1 %, après +0,6 % en 2024. En effet, l’effet de désinflation (1,5 % en 2025) et la hausse des salaires réels l’emporteraient en 2025. Les ménages réduiraient alors leur épargne de précaution, permettant une baisse de leur taux d’épargne globale de 0,8 point de pourcentage -ppct- à 16,8 %. Il resterait toutefois 2 ppct au-dessus de sa moyenne de long terme (14,8 %).</w:t>
      </w:r>
    </w:p>
    <w:p w14:paraId="2BC8E5C0" w14:textId="254A812A" w:rsidR="00F77E6A" w:rsidRDefault="00F77E6A" w:rsidP="00F77E6A">
      <w:pPr>
        <w:spacing w:line="360" w:lineRule="auto"/>
        <w:jc w:val="both"/>
        <w:rPr>
          <w:rFonts w:ascii="Arial" w:hAnsi="Arial" w:cs="Arial"/>
        </w:rPr>
      </w:pPr>
      <w:r>
        <w:rPr>
          <w:rFonts w:ascii="Arial" w:hAnsi="Arial" w:cs="Arial"/>
        </w:rPr>
        <w:t xml:space="preserve">En revanche, l’investissement continuerait de se replier en 2025, de </w:t>
      </w:r>
      <w:r w:rsidR="00031A72">
        <w:rPr>
          <w:rFonts w:ascii="Arial" w:hAnsi="Arial" w:cs="Arial"/>
        </w:rPr>
        <w:t>1</w:t>
      </w:r>
      <w:r>
        <w:rPr>
          <w:rFonts w:ascii="Arial" w:hAnsi="Arial" w:cs="Arial"/>
        </w:rPr>
        <w:t>,</w:t>
      </w:r>
      <w:r w:rsidR="00031A72">
        <w:rPr>
          <w:rFonts w:ascii="Arial" w:hAnsi="Arial" w:cs="Arial"/>
        </w:rPr>
        <w:t>9</w:t>
      </w:r>
      <w:r>
        <w:rPr>
          <w:rFonts w:ascii="Arial" w:hAnsi="Arial" w:cs="Arial"/>
        </w:rPr>
        <w:t> % précisément à prix constants. Les ménages ressortiraient une nouvelle fois les grands perdants, avec -4,</w:t>
      </w:r>
      <w:r w:rsidR="00031A72">
        <w:rPr>
          <w:rFonts w:ascii="Arial" w:hAnsi="Arial" w:cs="Arial"/>
        </w:rPr>
        <w:t>2</w:t>
      </w:r>
      <w:r>
        <w:rPr>
          <w:rFonts w:ascii="Arial" w:hAnsi="Arial" w:cs="Arial"/>
        </w:rPr>
        <w:t xml:space="preserve"> % compte tenu de la poursuite de la chute du logement neuf (voir plus loin). Les entreprises suivraient, le recul de leur investissement global s’accélérant à -2,0 %, du fait de projets différés dans l’attente d’y voir plus clair sur les futurs PLF et PLFSS. Seul l’investissement public continuerait de croître (+1,0 %), mais à un rythme deux fois moins élevé qu’en 2024. </w:t>
      </w:r>
      <w:r>
        <w:rPr>
          <w:rFonts w:ascii="Arial" w:hAnsi="Arial" w:cs="Arial"/>
        </w:rPr>
        <w:lastRenderedPageBreak/>
        <w:t xml:space="preserve">De fait, l’attentisme prévaudrait là encore, d’autant que le PLF 2025 discuté en novembre 2024 leur était particulièrement défavorable avec les baisses conjuguées de la dotation globale de fonctionnement, du Fonds vert et du FCTVA. </w:t>
      </w:r>
    </w:p>
    <w:p w14:paraId="5522B6F6" w14:textId="455B537E" w:rsidR="00F77E6A" w:rsidRDefault="00F77E6A" w:rsidP="00F77E6A">
      <w:pPr>
        <w:spacing w:line="360" w:lineRule="auto"/>
        <w:jc w:val="both"/>
        <w:rPr>
          <w:rFonts w:ascii="Arial" w:hAnsi="Arial" w:cs="Arial"/>
        </w:rPr>
      </w:pPr>
      <w:r>
        <w:rPr>
          <w:rFonts w:ascii="Arial" w:hAnsi="Arial" w:cs="Arial"/>
        </w:rPr>
        <w:t xml:space="preserve">Pour sa part, le solde du commerce extérieur pèserait négativement sur la croissance, du fait d’une progression un peu plus forte des importations (+2,3 %) que des exportations (+2,2 %). </w:t>
      </w:r>
    </w:p>
    <w:p w14:paraId="2FD1EEC2" w14:textId="77777777" w:rsidR="00F77E6A" w:rsidRPr="00EC0758" w:rsidRDefault="00F77E6A" w:rsidP="00F77E6A">
      <w:pPr>
        <w:spacing w:after="0" w:line="360" w:lineRule="auto"/>
        <w:jc w:val="center"/>
        <w:rPr>
          <w:rFonts w:ascii="Arial" w:hAnsi="Arial" w:cs="Arial"/>
        </w:rPr>
      </w:pPr>
      <w:r>
        <w:rPr>
          <w:rFonts w:ascii="Arial" w:hAnsi="Arial" w:cs="Arial"/>
        </w:rPr>
        <w:t>Tableau</w:t>
      </w:r>
      <w:r w:rsidRPr="00B724B9">
        <w:rPr>
          <w:rFonts w:ascii="Arial" w:hAnsi="Arial" w:cs="Arial"/>
        </w:rPr>
        <w:t xml:space="preserve"> 1 – </w:t>
      </w:r>
      <w:r w:rsidRPr="00F763E0">
        <w:rPr>
          <w:rFonts w:ascii="Arial" w:hAnsi="Arial" w:cs="Arial"/>
          <w:b/>
          <w:bCs/>
        </w:rPr>
        <w:t>Le scénario macroéconomique 202</w:t>
      </w:r>
      <w:r>
        <w:rPr>
          <w:rFonts w:ascii="Arial" w:hAnsi="Arial" w:cs="Arial"/>
          <w:b/>
          <w:bCs/>
        </w:rPr>
        <w:t>5</w:t>
      </w:r>
      <w:r w:rsidRPr="00F763E0">
        <w:rPr>
          <w:rFonts w:ascii="Arial" w:hAnsi="Arial" w:cs="Arial"/>
          <w:b/>
          <w:bCs/>
        </w:rPr>
        <w:t xml:space="preserve"> retenu par la FFB</w:t>
      </w:r>
    </w:p>
    <w:p w14:paraId="23C157D4" w14:textId="1D7E6FCC" w:rsidR="00F77E6A" w:rsidRDefault="00F77E6A" w:rsidP="00F77E6A">
      <w:pPr>
        <w:spacing w:after="0" w:line="360" w:lineRule="auto"/>
        <w:jc w:val="center"/>
        <w:rPr>
          <w:rFonts w:ascii="Arial" w:hAnsi="Arial" w:cs="Arial"/>
        </w:rPr>
      </w:pPr>
      <w:r w:rsidRPr="007A729D">
        <w:rPr>
          <w:rFonts w:ascii="Arial" w:hAnsi="Arial" w:cs="Arial"/>
        </w:rPr>
        <w:t xml:space="preserve"> </w:t>
      </w:r>
      <w:r w:rsidR="00D34C6A" w:rsidRPr="00D34C6A">
        <w:rPr>
          <w:rFonts w:ascii="Arial" w:hAnsi="Arial" w:cs="Arial"/>
          <w:noProof/>
        </w:rPr>
        <w:drawing>
          <wp:inline distT="0" distB="0" distL="0" distR="0" wp14:anchorId="0CD571D9" wp14:editId="358DD703">
            <wp:extent cx="5534025" cy="2609850"/>
            <wp:effectExtent l="0" t="0" r="9525" b="0"/>
            <wp:docPr id="42253148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4025" cy="2609850"/>
                    </a:xfrm>
                    <a:prstGeom prst="rect">
                      <a:avLst/>
                    </a:prstGeom>
                    <a:noFill/>
                    <a:ln>
                      <a:noFill/>
                    </a:ln>
                  </pic:spPr>
                </pic:pic>
              </a:graphicData>
            </a:graphic>
          </wp:inline>
        </w:drawing>
      </w:r>
    </w:p>
    <w:p w14:paraId="4B532134" w14:textId="77777777" w:rsidR="00F77E6A" w:rsidRDefault="00F77E6A" w:rsidP="00F77E6A">
      <w:pPr>
        <w:spacing w:line="312" w:lineRule="auto"/>
        <w:jc w:val="center"/>
        <w:rPr>
          <w:rFonts w:ascii="Arial" w:hAnsi="Arial" w:cs="Arial"/>
          <w:i/>
          <w:iCs/>
          <w:sz w:val="20"/>
          <w:szCs w:val="20"/>
        </w:rPr>
      </w:pPr>
      <w:r w:rsidRPr="00B724B9">
        <w:rPr>
          <w:rFonts w:ascii="Arial" w:hAnsi="Arial" w:cs="Arial"/>
          <w:i/>
          <w:iCs/>
          <w:sz w:val="20"/>
          <w:szCs w:val="20"/>
        </w:rPr>
        <w:t xml:space="preserve">Source : </w:t>
      </w:r>
      <w:r>
        <w:rPr>
          <w:rFonts w:ascii="Arial" w:hAnsi="Arial" w:cs="Arial"/>
          <w:i/>
          <w:iCs/>
          <w:sz w:val="20"/>
          <w:szCs w:val="20"/>
        </w:rPr>
        <w:t>FFB</w:t>
      </w:r>
    </w:p>
    <w:p w14:paraId="4F2DA2C7" w14:textId="3AEC6802" w:rsidR="00F77E6A" w:rsidRDefault="00F77E6A" w:rsidP="00F77E6A">
      <w:pPr>
        <w:spacing w:line="360" w:lineRule="auto"/>
        <w:jc w:val="both"/>
        <w:rPr>
          <w:rFonts w:ascii="Arial" w:hAnsi="Arial" w:cs="Arial"/>
        </w:rPr>
      </w:pPr>
      <w:r>
        <w:rPr>
          <w:rFonts w:ascii="Arial" w:hAnsi="Arial" w:cs="Arial"/>
        </w:rPr>
        <w:t xml:space="preserve">Dans le sillage d’une faible croissance et d’une forte incertitude sur l’avenir, le taux de chômage progresserait pour atteindre 7,7 % de la population active en moyenne </w:t>
      </w:r>
      <w:r w:rsidR="00C24E3F">
        <w:rPr>
          <w:rFonts w:ascii="Arial" w:hAnsi="Arial" w:cs="Arial"/>
        </w:rPr>
        <w:t>en</w:t>
      </w:r>
      <w:r>
        <w:rPr>
          <w:rFonts w:ascii="Arial" w:hAnsi="Arial" w:cs="Arial"/>
        </w:rPr>
        <w:t xml:space="preserve"> 2025, contre 7,4 % en 2024. Toutefois, il se maintiendrait 1,3 ppct </w:t>
      </w:r>
      <w:r w:rsidR="00031A72">
        <w:rPr>
          <w:rFonts w:ascii="Arial" w:hAnsi="Arial" w:cs="Arial"/>
        </w:rPr>
        <w:t>en</w:t>
      </w:r>
      <w:r>
        <w:rPr>
          <w:rFonts w:ascii="Arial" w:hAnsi="Arial" w:cs="Arial"/>
        </w:rPr>
        <w:t xml:space="preserve">-deçà de sa moyenne de longue période. </w:t>
      </w:r>
    </w:p>
    <w:p w14:paraId="21FE845D" w14:textId="77777777" w:rsidR="00471AFE" w:rsidRDefault="00F77E6A" w:rsidP="00F77E6A">
      <w:pPr>
        <w:spacing w:line="360" w:lineRule="auto"/>
        <w:jc w:val="both"/>
        <w:rPr>
          <w:rFonts w:ascii="Arial" w:hAnsi="Arial" w:cs="Arial"/>
        </w:rPr>
      </w:pPr>
      <w:r>
        <w:rPr>
          <w:rFonts w:ascii="Arial" w:hAnsi="Arial" w:cs="Arial"/>
        </w:rPr>
        <w:t>Enfin, le mouvement de baisse des taux d’intérêt se poursuivrait. Ainsi, le taux de l’OAT à dix ans atteindrait 2,9 %, soit un repli contenu de dix points de base. D’autant que la politique de détente de ses taux directeurs de la BCE, permise par le retour à l’inflation cible de 2 %, resterait d’actualité. Néanmoins, l’impact de cette baisse serait tempéré par les difficultés de la France à voter un budget engageant une réduction du déficit public, réduisant d’autant la confiance des marchés.</w:t>
      </w:r>
    </w:p>
    <w:p w14:paraId="2670EE69" w14:textId="1A4951AE" w:rsidR="009E7665" w:rsidRDefault="00471AFE" w:rsidP="009E7665">
      <w:pPr>
        <w:spacing w:line="360" w:lineRule="auto"/>
        <w:jc w:val="both"/>
        <w:rPr>
          <w:rFonts w:ascii="Arial" w:hAnsi="Arial" w:cs="Arial"/>
          <w:b/>
          <w:bCs/>
        </w:rPr>
      </w:pPr>
      <w:r w:rsidRPr="00471AFE">
        <w:rPr>
          <w:rFonts w:ascii="Arial" w:hAnsi="Arial" w:cs="Arial"/>
          <w:b/>
          <w:bCs/>
        </w:rPr>
        <w:t xml:space="preserve">Attention, ce scénario </w:t>
      </w:r>
      <w:r w:rsidR="00D07A84">
        <w:rPr>
          <w:rFonts w:ascii="Arial" w:hAnsi="Arial" w:cs="Arial"/>
          <w:b/>
          <w:bCs/>
        </w:rPr>
        <w:t xml:space="preserve">macroéconomique </w:t>
      </w:r>
      <w:r w:rsidRPr="00471AFE">
        <w:rPr>
          <w:rFonts w:ascii="Arial" w:hAnsi="Arial" w:cs="Arial"/>
          <w:b/>
          <w:bCs/>
        </w:rPr>
        <w:t xml:space="preserve">a été construit </w:t>
      </w:r>
      <w:r w:rsidR="009E7665">
        <w:rPr>
          <w:rFonts w:ascii="Arial" w:hAnsi="Arial" w:cs="Arial"/>
          <w:b/>
          <w:bCs/>
        </w:rPr>
        <w:t>en faisant l’hypothèse de l’absence de loi de finances sur toute l’année 2025</w:t>
      </w:r>
      <w:r w:rsidRPr="00471AFE">
        <w:rPr>
          <w:rFonts w:ascii="Arial" w:hAnsi="Arial" w:cs="Arial"/>
          <w:b/>
          <w:bCs/>
        </w:rPr>
        <w:t xml:space="preserve">. </w:t>
      </w:r>
      <w:r w:rsidR="009E7665">
        <w:rPr>
          <w:rFonts w:ascii="Arial" w:hAnsi="Arial" w:cs="Arial"/>
          <w:b/>
          <w:bCs/>
        </w:rPr>
        <w:t>Dès</w:t>
      </w:r>
      <w:r w:rsidRPr="00471AFE">
        <w:rPr>
          <w:rFonts w:ascii="Arial" w:hAnsi="Arial" w:cs="Arial"/>
          <w:b/>
          <w:bCs/>
        </w:rPr>
        <w:t xml:space="preserve"> cette dernière votée, il sera révisé</w:t>
      </w:r>
      <w:r w:rsidR="009E7665">
        <w:rPr>
          <w:rFonts w:ascii="Arial" w:hAnsi="Arial" w:cs="Arial"/>
          <w:b/>
          <w:bCs/>
        </w:rPr>
        <w:t xml:space="preserve">, très probablement </w:t>
      </w:r>
      <w:r w:rsidRPr="00471AFE">
        <w:rPr>
          <w:rFonts w:ascii="Arial" w:hAnsi="Arial" w:cs="Arial"/>
          <w:b/>
          <w:bCs/>
        </w:rPr>
        <w:t>à la hausse.</w:t>
      </w:r>
    </w:p>
    <w:p w14:paraId="24CA92CC" w14:textId="28D8F663" w:rsidR="00F77E6A" w:rsidRPr="00471AFE" w:rsidRDefault="00F77E6A" w:rsidP="009E7665">
      <w:pPr>
        <w:spacing w:line="360" w:lineRule="auto"/>
        <w:jc w:val="both"/>
        <w:rPr>
          <w:rFonts w:ascii="Arial" w:hAnsi="Arial" w:cs="Arial"/>
          <w:b/>
          <w:bCs/>
          <w:sz w:val="28"/>
          <w:szCs w:val="28"/>
          <w:u w:val="single"/>
        </w:rPr>
      </w:pPr>
      <w:r w:rsidRPr="00471AFE">
        <w:rPr>
          <w:rFonts w:ascii="Arial" w:hAnsi="Arial" w:cs="Arial"/>
          <w:b/>
          <w:bCs/>
          <w:sz w:val="28"/>
          <w:szCs w:val="28"/>
          <w:u w:val="single"/>
        </w:rPr>
        <w:br w:type="page"/>
      </w:r>
    </w:p>
    <w:p w14:paraId="0A6E622C" w14:textId="77777777" w:rsidR="00F77E6A" w:rsidRDefault="00F77E6A" w:rsidP="00F77E6A">
      <w:pPr>
        <w:spacing w:before="480" w:after="120" w:line="360" w:lineRule="auto"/>
        <w:rPr>
          <w:rFonts w:ascii="Arial" w:hAnsi="Arial" w:cs="Arial"/>
          <w:b/>
          <w:sz w:val="28"/>
          <w:szCs w:val="28"/>
          <w:u w:val="single"/>
        </w:rPr>
      </w:pPr>
      <w:r w:rsidRPr="00861F5A">
        <w:rPr>
          <w:rFonts w:ascii="Arial" w:hAnsi="Arial" w:cs="Arial"/>
          <w:b/>
          <w:sz w:val="28"/>
          <w:szCs w:val="28"/>
          <w:u w:val="single"/>
        </w:rPr>
        <w:lastRenderedPageBreak/>
        <w:t>3.</w:t>
      </w:r>
      <w:r>
        <w:rPr>
          <w:rFonts w:ascii="Arial" w:hAnsi="Arial" w:cs="Arial"/>
          <w:b/>
          <w:sz w:val="28"/>
          <w:szCs w:val="28"/>
          <w:u w:val="single"/>
        </w:rPr>
        <w:t xml:space="preserve"> </w:t>
      </w:r>
      <w:r w:rsidRPr="00861F5A">
        <w:rPr>
          <w:rFonts w:ascii="Arial" w:hAnsi="Arial" w:cs="Arial"/>
          <w:b/>
          <w:sz w:val="28"/>
          <w:szCs w:val="28"/>
          <w:u w:val="single"/>
        </w:rPr>
        <w:t>Prévisions 2025</w:t>
      </w:r>
    </w:p>
    <w:p w14:paraId="47B8DF17" w14:textId="77777777" w:rsidR="00F77E6A" w:rsidRDefault="00F77E6A" w:rsidP="00F77E6A">
      <w:pPr>
        <w:spacing w:before="360" w:after="120" w:line="360" w:lineRule="auto"/>
        <w:rPr>
          <w:rFonts w:ascii="Arial" w:hAnsi="Arial" w:cs="Arial"/>
          <w:u w:val="single"/>
        </w:rPr>
      </w:pPr>
      <w:r w:rsidRPr="00861F5A">
        <w:rPr>
          <w:rFonts w:ascii="Arial" w:hAnsi="Arial" w:cs="Arial"/>
          <w:u w:val="single"/>
        </w:rPr>
        <w:t>3.</w:t>
      </w:r>
      <w:r>
        <w:rPr>
          <w:rFonts w:ascii="Arial" w:hAnsi="Arial" w:cs="Arial"/>
          <w:u w:val="single"/>
        </w:rPr>
        <w:t>1</w:t>
      </w:r>
      <w:r w:rsidRPr="00861F5A">
        <w:rPr>
          <w:rFonts w:ascii="Arial" w:hAnsi="Arial" w:cs="Arial"/>
          <w:u w:val="single"/>
        </w:rPr>
        <w:t xml:space="preserve"> Le </w:t>
      </w:r>
      <w:r>
        <w:rPr>
          <w:rFonts w:ascii="Arial" w:hAnsi="Arial" w:cs="Arial"/>
          <w:u w:val="single"/>
        </w:rPr>
        <w:t>logement neuf</w:t>
      </w:r>
    </w:p>
    <w:p w14:paraId="1A535C89" w14:textId="77777777" w:rsidR="00F77E6A" w:rsidRDefault="00F77E6A" w:rsidP="00F77E6A">
      <w:pPr>
        <w:spacing w:line="360" w:lineRule="auto"/>
        <w:jc w:val="both"/>
        <w:rPr>
          <w:rFonts w:ascii="Arial" w:hAnsi="Arial" w:cs="Arial"/>
        </w:rPr>
      </w:pPr>
      <w:r>
        <w:rPr>
          <w:rFonts w:ascii="Arial" w:hAnsi="Arial" w:cs="Arial"/>
        </w:rPr>
        <w:t>Le logement neuf ne connaîtra pas de répit en 2025, compte tenu de deux facteurs très négatifs :</w:t>
      </w:r>
    </w:p>
    <w:p w14:paraId="0B11ABD2" w14:textId="7D181EFE" w:rsidR="00F77E6A" w:rsidRDefault="00F77E6A" w:rsidP="00F77E6A">
      <w:pPr>
        <w:pStyle w:val="Paragraphedeliste"/>
        <w:numPr>
          <w:ilvl w:val="0"/>
          <w:numId w:val="39"/>
        </w:numPr>
        <w:spacing w:line="360" w:lineRule="auto"/>
        <w:jc w:val="both"/>
        <w:rPr>
          <w:rFonts w:ascii="Arial" w:hAnsi="Arial" w:cs="Arial"/>
        </w:rPr>
      </w:pPr>
      <w:r>
        <w:rPr>
          <w:rFonts w:ascii="Arial" w:hAnsi="Arial" w:cs="Arial"/>
        </w:rPr>
        <w:t>l’amont de la filière ressort toujours mal orienté en 2024. De fait, les ventes de constructeurs de maisons individuelles y chutent encore d’environ 15 %</w:t>
      </w:r>
      <w:r w:rsidRPr="00A249A4">
        <w:rPr>
          <w:rFonts w:ascii="Arial" w:hAnsi="Arial" w:cs="Arial"/>
        </w:rPr>
        <w:t xml:space="preserve">, </w:t>
      </w:r>
      <w:r>
        <w:rPr>
          <w:rFonts w:ascii="Arial" w:hAnsi="Arial" w:cs="Arial"/>
        </w:rPr>
        <w:t>même si l’on note un tassement depuis l’été et qu’un point bas semble se dessiner au tournant 2024-2025 ; par ailleurs, les mises en vente des promoteurs aux particuliers s’effondrent d’environ 30 % en 2024, sans changement de rythme au cours de l’année ;</w:t>
      </w:r>
    </w:p>
    <w:p w14:paraId="3FF945AC" w14:textId="0F9506CF" w:rsidR="00F77E6A" w:rsidRDefault="00F77E6A" w:rsidP="00F77E6A">
      <w:pPr>
        <w:pStyle w:val="Paragraphedeliste"/>
        <w:numPr>
          <w:ilvl w:val="0"/>
          <w:numId w:val="39"/>
        </w:numPr>
        <w:spacing w:line="360" w:lineRule="auto"/>
        <w:jc w:val="both"/>
        <w:rPr>
          <w:rFonts w:ascii="Arial" w:hAnsi="Arial" w:cs="Arial"/>
        </w:rPr>
      </w:pPr>
      <w:r>
        <w:rPr>
          <w:rFonts w:ascii="Arial" w:hAnsi="Arial" w:cs="Arial"/>
        </w:rPr>
        <w:t xml:space="preserve">l’abandon du PLF 2025 consécutif à la chute du gouvernement Barnier renvoie à un horizon indéfini </w:t>
      </w:r>
      <w:r w:rsidR="0041364F">
        <w:rPr>
          <w:rFonts w:ascii="Arial" w:hAnsi="Arial" w:cs="Arial"/>
        </w:rPr>
        <w:t>d</w:t>
      </w:r>
      <w:r>
        <w:rPr>
          <w:rFonts w:ascii="Arial" w:hAnsi="Arial" w:cs="Arial"/>
        </w:rPr>
        <w:t xml:space="preserve">es mesures en faveur du logement. Le non-redéploiement du PTZ dans l’individuel comme en zones B2-C pénalise la primo-accession, qui bute sur le problème de l’apport personnel. De même, la fin « sèche » du dispositif « Pinel » détournera un peu plus les investisseurs particuliers de la pierre. Quant au maintien en l’état de </w:t>
      </w:r>
      <w:r w:rsidRPr="004F5572">
        <w:rPr>
          <w:rFonts w:ascii="Arial" w:hAnsi="Arial" w:cs="Arial"/>
        </w:rPr>
        <w:t xml:space="preserve">la </w:t>
      </w:r>
      <w:r>
        <w:rPr>
          <w:rFonts w:ascii="Arial" w:hAnsi="Arial" w:cs="Arial"/>
        </w:rPr>
        <w:t>R</w:t>
      </w:r>
      <w:r w:rsidRPr="004F5572">
        <w:rPr>
          <w:rFonts w:ascii="Arial" w:hAnsi="Arial" w:cs="Arial"/>
        </w:rPr>
        <w:t>éduction du loyer de solidarité</w:t>
      </w:r>
      <w:r>
        <w:rPr>
          <w:rFonts w:ascii="Arial" w:hAnsi="Arial" w:cs="Arial"/>
        </w:rPr>
        <w:t xml:space="preserve"> (RLS), elle pèsera lourdement sur les fonds propres des organismes de logement social et sur leur capacité d’investir.</w:t>
      </w:r>
    </w:p>
    <w:p w14:paraId="58F29BAB" w14:textId="77777777" w:rsidR="00F77E6A" w:rsidRPr="00AB2034" w:rsidRDefault="00F77E6A" w:rsidP="00F77E6A">
      <w:pPr>
        <w:spacing w:line="360" w:lineRule="auto"/>
        <w:jc w:val="both"/>
        <w:rPr>
          <w:rFonts w:ascii="Arial" w:hAnsi="Arial" w:cs="Arial"/>
        </w:rPr>
      </w:pPr>
      <w:r>
        <w:rPr>
          <w:rFonts w:ascii="Arial" w:hAnsi="Arial" w:cs="Arial"/>
        </w:rPr>
        <w:t>Par ailleurs, le ZAN continuera de peser négativement sur l’individuel, alors que les assouplissements prévus par l’ex-gouvernement Barnier et par le Parlement se trouvent au-moins reportés.</w:t>
      </w:r>
    </w:p>
    <w:p w14:paraId="6E4AD432" w14:textId="77777777" w:rsidR="00F77E6A" w:rsidRPr="0044547A" w:rsidRDefault="00F77E6A" w:rsidP="00F77E6A">
      <w:pPr>
        <w:spacing w:line="360" w:lineRule="auto"/>
        <w:jc w:val="both"/>
        <w:rPr>
          <w:rFonts w:ascii="Arial" w:hAnsi="Arial" w:cs="Arial"/>
        </w:rPr>
      </w:pPr>
      <w:r>
        <w:rPr>
          <w:rFonts w:ascii="Arial" w:hAnsi="Arial" w:cs="Arial"/>
        </w:rPr>
        <w:t xml:space="preserve">Certes, l’environnement macro-financier resterait plutôt favorable, notamment avec une poursuite de la baisse des </w:t>
      </w:r>
      <w:r w:rsidRPr="006C0F56">
        <w:rPr>
          <w:rFonts w:ascii="Arial" w:hAnsi="Arial" w:cs="Arial"/>
        </w:rPr>
        <w:t>taux des crédits immobiliers délivrés aux particuliers</w:t>
      </w:r>
      <w:r>
        <w:rPr>
          <w:rFonts w:ascii="Arial" w:hAnsi="Arial" w:cs="Arial"/>
        </w:rPr>
        <w:t>. De fait, la poursuite de la baisse des taux directeurs de la BCE et le volume toujours important d’épargne pas ou peu rémunérée offriront d</w:t>
      </w:r>
      <w:r w:rsidRPr="006C0F56">
        <w:rPr>
          <w:rFonts w:ascii="Arial" w:hAnsi="Arial" w:cs="Arial"/>
        </w:rPr>
        <w:t xml:space="preserve">es </w:t>
      </w:r>
      <w:r>
        <w:rPr>
          <w:rFonts w:ascii="Arial" w:hAnsi="Arial" w:cs="Arial"/>
        </w:rPr>
        <w:t>conditions de refinancement favorables pour les établissements prêteurs, de nature à alimenter leur politique de reconquête du marché du crédit</w:t>
      </w:r>
      <w:r w:rsidRPr="0044547A">
        <w:rPr>
          <w:rFonts w:ascii="Arial" w:hAnsi="Arial" w:cs="Arial"/>
        </w:rPr>
        <w:t xml:space="preserve">, singulièrement des bons dossiers. Mais cela ne compensera pas les éléments très négatifs décrits précédemment </w:t>
      </w:r>
    </w:p>
    <w:p w14:paraId="47BB83A4" w14:textId="6231C807" w:rsidR="00F77E6A" w:rsidRDefault="00F77E6A" w:rsidP="00F77E6A">
      <w:pPr>
        <w:spacing w:line="360" w:lineRule="auto"/>
        <w:jc w:val="both"/>
        <w:rPr>
          <w:rFonts w:ascii="Arial" w:hAnsi="Arial" w:cs="Arial"/>
        </w:rPr>
      </w:pPr>
      <w:r>
        <w:rPr>
          <w:rFonts w:ascii="Arial" w:hAnsi="Arial" w:cs="Arial"/>
        </w:rPr>
        <w:t>Ainsi, après respectivement -24,1 % et -10,6 % en 2023 et 2024, les autorisations de logements neufs abandonneraient encore 15,3 % en 2025. Le segment du collectif serait un peu plus affecté que l’individuel, avec -18,0 % contre -10,7 %, du fait de la fin du programme de rachat du stock des promoteurs par Action Logement et CDC Habitat. Seuls 283 000 logements se trouveraient donc autorisés en 2025</w:t>
      </w:r>
      <w:r w:rsidR="00DA3C55">
        <w:rPr>
          <w:rFonts w:ascii="Arial" w:hAnsi="Arial" w:cs="Arial"/>
        </w:rPr>
        <w:t>,</w:t>
      </w:r>
      <w:r>
        <w:rPr>
          <w:rFonts w:ascii="Arial" w:hAnsi="Arial" w:cs="Arial"/>
        </w:rPr>
        <w:t xml:space="preserve"> nouveau plancher depuis 1986 (date d’origine de la série).</w:t>
      </w:r>
    </w:p>
    <w:p w14:paraId="7FB5FF9E" w14:textId="323892FD" w:rsidR="00F77E6A" w:rsidRDefault="00F77E6A" w:rsidP="00F77E6A">
      <w:pPr>
        <w:spacing w:line="360" w:lineRule="auto"/>
        <w:jc w:val="both"/>
        <w:rPr>
          <w:rFonts w:ascii="Arial" w:hAnsi="Arial" w:cs="Arial"/>
        </w:rPr>
      </w:pPr>
      <w:r>
        <w:rPr>
          <w:rFonts w:ascii="Arial" w:hAnsi="Arial" w:cs="Arial"/>
        </w:rPr>
        <w:lastRenderedPageBreak/>
        <w:t>Cette chute des autorisations, cumulée à celle de 2024 (-10,6 %), se répercuterait sur les mises en chantier, à hauteur de -5,6 % dès 2025. De fait, l’effet du programme de rachat mentionné précédemment continuera de soutenir le collectif, qui ne s’effritera</w:t>
      </w:r>
      <w:r w:rsidR="0041364F">
        <w:rPr>
          <w:rFonts w:ascii="Arial" w:hAnsi="Arial" w:cs="Arial"/>
        </w:rPr>
        <w:t>it</w:t>
      </w:r>
      <w:r>
        <w:rPr>
          <w:rFonts w:ascii="Arial" w:hAnsi="Arial" w:cs="Arial"/>
        </w:rPr>
        <w:t xml:space="preserve"> que de 1,2 %. En revanche, l’individuel abandonnera</w:t>
      </w:r>
      <w:r w:rsidR="00104369">
        <w:rPr>
          <w:rFonts w:ascii="Arial" w:hAnsi="Arial" w:cs="Arial"/>
        </w:rPr>
        <w:t>it</w:t>
      </w:r>
      <w:r>
        <w:rPr>
          <w:rFonts w:ascii="Arial" w:hAnsi="Arial" w:cs="Arial"/>
        </w:rPr>
        <w:t xml:space="preserve"> encore 12,6 %, son rythme de baisse cependant deux fois moindre qu’en 2024. Ainsi, au global, les ouvertures de chantier de logements s’afficheraient à seulement 239 000 unités, niveau auquel la France n’était plus tombée depuis 1953 !</w:t>
      </w:r>
    </w:p>
    <w:p w14:paraId="041C56D3" w14:textId="0F4AE90C" w:rsidR="00F77E6A" w:rsidRPr="00861F5A" w:rsidRDefault="00F77E6A" w:rsidP="00F77E6A">
      <w:pPr>
        <w:spacing w:line="360" w:lineRule="auto"/>
        <w:jc w:val="both"/>
        <w:rPr>
          <w:rFonts w:ascii="Arial" w:hAnsi="Arial" w:cs="Arial"/>
        </w:rPr>
      </w:pPr>
      <w:r>
        <w:rPr>
          <w:rFonts w:ascii="Arial" w:hAnsi="Arial" w:cs="Arial"/>
        </w:rPr>
        <w:t xml:space="preserve">Compte tenu des habituels délais de transformation des mises en chantier en production, l’activité bâtiment liée au logement neuf plongerait de 14,2 % en 2025, après -21,9 % en 2024. L’individuel serait le plus touché, à -19,9 % contre -7,2 % pour le collectif. </w:t>
      </w:r>
    </w:p>
    <w:p w14:paraId="4E3B8B08" w14:textId="77777777" w:rsidR="00F77E6A" w:rsidRDefault="00F77E6A" w:rsidP="00F77E6A">
      <w:pPr>
        <w:spacing w:before="360" w:after="120" w:line="360" w:lineRule="auto"/>
        <w:jc w:val="both"/>
        <w:rPr>
          <w:rFonts w:ascii="Arial" w:hAnsi="Arial" w:cs="Arial"/>
          <w:u w:val="single"/>
        </w:rPr>
      </w:pPr>
      <w:r w:rsidRPr="00861F5A">
        <w:rPr>
          <w:rFonts w:ascii="Arial" w:hAnsi="Arial" w:cs="Arial"/>
          <w:u w:val="single"/>
        </w:rPr>
        <w:t>3.2 Le non résidentiel neuf</w:t>
      </w:r>
    </w:p>
    <w:p w14:paraId="5D519C74" w14:textId="595C9289" w:rsidR="00F77E6A" w:rsidRDefault="00F77E6A" w:rsidP="00F77E6A">
      <w:pPr>
        <w:spacing w:line="360" w:lineRule="auto"/>
        <w:jc w:val="both"/>
        <w:rPr>
          <w:rFonts w:ascii="Arial" w:hAnsi="Arial" w:cs="Arial"/>
        </w:rPr>
      </w:pPr>
      <w:r>
        <w:rPr>
          <w:rFonts w:ascii="Arial" w:hAnsi="Arial" w:cs="Arial"/>
        </w:rPr>
        <w:t>En 2025, les surfaces autorisées de bâtiments non résidentiels enregistreraient un nouveau recul de 3,5 %, soit un rythme légèrement plus fort qu’en 2024 (-2,3 %).</w:t>
      </w:r>
    </w:p>
    <w:p w14:paraId="1EEBF339" w14:textId="01D9E097" w:rsidR="00F77E6A" w:rsidRDefault="00F77E6A" w:rsidP="00F77E6A">
      <w:pPr>
        <w:spacing w:line="360" w:lineRule="auto"/>
        <w:jc w:val="both"/>
        <w:rPr>
          <w:rFonts w:ascii="Arial" w:hAnsi="Arial" w:cs="Arial"/>
        </w:rPr>
      </w:pPr>
      <w:r>
        <w:rPr>
          <w:rFonts w:ascii="Arial" w:hAnsi="Arial" w:cs="Arial"/>
        </w:rPr>
        <w:t>En détail, seuls les hébergements hôteliers s’afficheraient en croissance de 4,3 %. De fait, ce segment demeure attractif au sein des investissements en immobilier d’entreprise</w:t>
      </w:r>
      <w:r w:rsidRPr="00365114">
        <w:rPr>
          <w:rFonts w:ascii="Arial" w:hAnsi="Arial" w:cs="Arial"/>
        </w:rPr>
        <w:t> : selon BNP Paribas Real Estate, avec deux milliards d’euros investis en hôtellerie sur les trois premiers trimestres de 2024, la hausse s’élève à 30 % par rapport à la même période de 2023, comparé à un recul de 9 % pour l’ensemble.</w:t>
      </w:r>
      <w:r>
        <w:rPr>
          <w:rFonts w:ascii="Arial" w:hAnsi="Arial" w:cs="Arial"/>
        </w:rPr>
        <w:t xml:space="preserve"> Par ailleurs, l’accélération prévue des dépenses de consommation des ménages en 2025 profiterait également au tourisme, donc au secteur hôtelier, donc à ses projets d’investissements.</w:t>
      </w:r>
    </w:p>
    <w:p w14:paraId="5CDE8675" w14:textId="25B23D37" w:rsidR="00F77E6A" w:rsidRDefault="00F77E6A" w:rsidP="00F77E6A">
      <w:pPr>
        <w:spacing w:line="360" w:lineRule="auto"/>
        <w:jc w:val="both"/>
        <w:rPr>
          <w:rFonts w:ascii="Arial" w:hAnsi="Arial" w:cs="Arial"/>
        </w:rPr>
      </w:pPr>
      <w:r w:rsidRPr="00336159">
        <w:rPr>
          <w:rFonts w:ascii="Arial" w:hAnsi="Arial" w:cs="Arial"/>
        </w:rPr>
        <w:t>Les bâtiments industriels et assimilés ressortiraient</w:t>
      </w:r>
      <w:r>
        <w:rPr>
          <w:rFonts w:ascii="Arial" w:hAnsi="Arial" w:cs="Arial"/>
        </w:rPr>
        <w:t xml:space="preserve"> en repli de 2 %. Plus précisément, les locaux logistiques progresseraient à nouveau, profitant de la reprise de la consommation des ménages et de la croissance </w:t>
      </w:r>
      <w:r w:rsidRPr="00FC3911">
        <w:rPr>
          <w:rFonts w:ascii="Arial" w:hAnsi="Arial" w:cs="Arial"/>
        </w:rPr>
        <w:t>continue du chiffre d’affaires du e-commerce</w:t>
      </w:r>
      <w:r>
        <w:rPr>
          <w:rFonts w:ascii="Arial" w:hAnsi="Arial" w:cs="Arial"/>
        </w:rPr>
        <w:t>. Mais le recul des bâtiments industriels purs l’emporterait, pénalisés par le prix élevé du foncier et le climat d’incertitude néfaste à la réindustrialisation pourtant souhaitée.</w:t>
      </w:r>
    </w:p>
    <w:p w14:paraId="5FD90B8C" w14:textId="1662B4FC" w:rsidR="00F77E6A" w:rsidRDefault="00F77E6A" w:rsidP="00F77E6A">
      <w:pPr>
        <w:spacing w:line="360" w:lineRule="auto"/>
        <w:jc w:val="both"/>
        <w:rPr>
          <w:rFonts w:ascii="Arial" w:hAnsi="Arial" w:cs="Arial"/>
        </w:rPr>
      </w:pPr>
      <w:r>
        <w:rPr>
          <w:rFonts w:ascii="Arial" w:hAnsi="Arial" w:cs="Arial"/>
        </w:rPr>
        <w:t xml:space="preserve">Les surfaces autorisées de bureaux chuteraient encore de 10,2 %, après déjà -18,4 % et </w:t>
      </w:r>
      <w:r w:rsidR="004F32FC">
        <w:rPr>
          <w:rFonts w:ascii="Arial" w:hAnsi="Arial" w:cs="Arial"/>
        </w:rPr>
        <w:br/>
      </w:r>
      <w:r>
        <w:rPr>
          <w:rFonts w:ascii="Arial" w:hAnsi="Arial" w:cs="Arial"/>
        </w:rPr>
        <w:t xml:space="preserve">-7,9 % en 2023 et 2024. Le télétravail et le développement du </w:t>
      </w:r>
      <w:r w:rsidRPr="002456BC">
        <w:rPr>
          <w:rFonts w:ascii="Arial" w:hAnsi="Arial" w:cs="Arial"/>
          <w:i/>
          <w:iCs/>
        </w:rPr>
        <w:t>flex office</w:t>
      </w:r>
      <w:r>
        <w:rPr>
          <w:rFonts w:ascii="Arial" w:hAnsi="Arial" w:cs="Arial"/>
        </w:rPr>
        <w:t xml:space="preserve"> conduisent à un fort recul de la demande, toujours d’actualité l’année prochaine. Par ailleurs, l’offre de bureaux s’avère pléthorique, comme le </w:t>
      </w:r>
      <w:r w:rsidRPr="00F1230C">
        <w:rPr>
          <w:rFonts w:ascii="Arial" w:hAnsi="Arial" w:cs="Arial"/>
        </w:rPr>
        <w:t>montre</w:t>
      </w:r>
      <w:r>
        <w:rPr>
          <w:rFonts w:ascii="Arial" w:hAnsi="Arial" w:cs="Arial"/>
        </w:rPr>
        <w:t xml:space="preserve">nt les </w:t>
      </w:r>
      <w:r w:rsidRPr="00F1230C">
        <w:rPr>
          <w:rFonts w:ascii="Arial" w:hAnsi="Arial" w:cs="Arial"/>
        </w:rPr>
        <w:t>5,2</w:t>
      </w:r>
      <w:r w:rsidR="009B36F6">
        <w:rPr>
          <w:rFonts w:ascii="Arial" w:hAnsi="Arial" w:cs="Arial"/>
        </w:rPr>
        <w:t> </w:t>
      </w:r>
      <w:r w:rsidRPr="00F1230C">
        <w:rPr>
          <w:rFonts w:ascii="Arial" w:hAnsi="Arial" w:cs="Arial"/>
        </w:rPr>
        <w:t>millions de m² disponibles en Île-de-France au troisième trimestre 2024, pic historique</w:t>
      </w:r>
      <w:r>
        <w:rPr>
          <w:rFonts w:ascii="Arial" w:hAnsi="Arial" w:cs="Arial"/>
        </w:rPr>
        <w:t>,</w:t>
      </w:r>
      <w:r w:rsidRPr="00F1230C">
        <w:rPr>
          <w:rFonts w:ascii="Arial" w:hAnsi="Arial" w:cs="Arial"/>
        </w:rPr>
        <w:t xml:space="preserve"> quasiment 2</w:t>
      </w:r>
      <w:r w:rsidR="009B36F6">
        <w:rPr>
          <w:rFonts w:ascii="Arial" w:hAnsi="Arial" w:cs="Arial"/>
        </w:rPr>
        <w:t> </w:t>
      </w:r>
      <w:r w:rsidRPr="00F1230C">
        <w:rPr>
          <w:rFonts w:ascii="Arial" w:hAnsi="Arial" w:cs="Arial"/>
        </w:rPr>
        <w:t xml:space="preserve">millions de m² au-dessus de </w:t>
      </w:r>
      <w:r>
        <w:rPr>
          <w:rFonts w:ascii="Arial" w:hAnsi="Arial" w:cs="Arial"/>
        </w:rPr>
        <w:t>l</w:t>
      </w:r>
      <w:r w:rsidRPr="00F1230C">
        <w:rPr>
          <w:rFonts w:ascii="Arial" w:hAnsi="Arial" w:cs="Arial"/>
        </w:rPr>
        <w:t>a moyenne de long terme</w:t>
      </w:r>
      <w:r>
        <w:rPr>
          <w:rFonts w:ascii="Arial" w:hAnsi="Arial" w:cs="Arial"/>
        </w:rPr>
        <w:t>. De plus, notre scénario macroéconomique retient une petite hausse du chômage, à 7,7 % contre 7,4 % en 2024. La sortie de crise du marché des bureaux n’est donc pas pour 2025.</w:t>
      </w:r>
    </w:p>
    <w:p w14:paraId="249CD9EB" w14:textId="77777777" w:rsidR="00F77E6A" w:rsidRDefault="00F77E6A" w:rsidP="00F77E6A">
      <w:pPr>
        <w:spacing w:line="360" w:lineRule="auto"/>
        <w:jc w:val="both"/>
        <w:rPr>
          <w:rFonts w:ascii="Arial" w:hAnsi="Arial" w:cs="Arial"/>
        </w:rPr>
      </w:pPr>
      <w:r>
        <w:rPr>
          <w:rFonts w:ascii="Arial" w:hAnsi="Arial" w:cs="Arial"/>
        </w:rPr>
        <w:lastRenderedPageBreak/>
        <w:t>Après -7,2 % et -4,8 % en 2023 et 2024, la tendance baissière des surfaces autorisées de commerces s’atténuerait,</w:t>
      </w:r>
      <w:r w:rsidR="006F0437">
        <w:rPr>
          <w:rFonts w:ascii="Arial" w:hAnsi="Arial" w:cs="Arial"/>
        </w:rPr>
        <w:t xml:space="preserve"> </w:t>
      </w:r>
      <w:r>
        <w:rPr>
          <w:rFonts w:ascii="Arial" w:hAnsi="Arial" w:cs="Arial"/>
        </w:rPr>
        <w:t>à</w:t>
      </w:r>
      <w:r w:rsidR="006F0437">
        <w:rPr>
          <w:rFonts w:ascii="Arial" w:hAnsi="Arial" w:cs="Arial"/>
        </w:rPr>
        <w:t xml:space="preserve"> </w:t>
      </w:r>
      <w:r>
        <w:rPr>
          <w:rFonts w:ascii="Arial" w:hAnsi="Arial" w:cs="Arial"/>
        </w:rPr>
        <w:t>-2,6 %.</w:t>
      </w:r>
      <w:r w:rsidR="006F0437">
        <w:rPr>
          <w:rFonts w:ascii="Arial" w:hAnsi="Arial" w:cs="Arial"/>
        </w:rPr>
        <w:t xml:space="preserve"> </w:t>
      </w:r>
      <w:r>
        <w:rPr>
          <w:rFonts w:ascii="Arial" w:hAnsi="Arial" w:cs="Arial"/>
        </w:rPr>
        <w:t xml:space="preserve">Ce segment fait face depuis plusieurs années au développement continu du e-commerce, ainsi qu’à la santé fragile des hypermarchés dont les projets de développement s’avèrent limités. Seuls les investissements en </w:t>
      </w:r>
      <w:r w:rsidRPr="00614D33">
        <w:rPr>
          <w:rFonts w:ascii="Arial" w:hAnsi="Arial" w:cs="Arial"/>
          <w:i/>
          <w:iCs/>
        </w:rPr>
        <w:t>retail park</w:t>
      </w:r>
      <w:r>
        <w:rPr>
          <w:rFonts w:ascii="Arial" w:hAnsi="Arial" w:cs="Arial"/>
        </w:rPr>
        <w:t xml:space="preserve"> qui génèrent des surfaces importantes permettent encore de limiter le recul. </w:t>
      </w:r>
      <w:r w:rsidRPr="003E7842">
        <w:rPr>
          <w:rFonts w:ascii="Arial" w:hAnsi="Arial" w:cs="Arial"/>
        </w:rPr>
        <w:t>La reprise récente du volume d’investissement en immobilier commercial (+101 % entre les troisièmes trimestres 2023 et 2024) permet d’être un peu moins pessimiste.</w:t>
      </w:r>
    </w:p>
    <w:p w14:paraId="3060E0F7" w14:textId="77777777" w:rsidR="00F77E6A" w:rsidRDefault="00F77E6A" w:rsidP="00F77E6A">
      <w:pPr>
        <w:spacing w:line="360" w:lineRule="auto"/>
        <w:jc w:val="both"/>
        <w:rPr>
          <w:rFonts w:ascii="Arial" w:hAnsi="Arial" w:cs="Arial"/>
        </w:rPr>
      </w:pPr>
      <w:r>
        <w:rPr>
          <w:rFonts w:ascii="Arial" w:hAnsi="Arial" w:cs="Arial"/>
        </w:rPr>
        <w:t xml:space="preserve">En dépit du positionnement favorable dans le cycle électoral municipal, un an avant l’échéance de mars 2026, les bâtiments administratifs connaîtraient un repli de 3,4 %. De fait, même si les collectivités territoriales échappent aux coups de rabot envisagés dans le PLF pour 2025 (baisses conjuguées de la DGF, du FCTVA et du Fonds vert), elles feraient preuve de prudence en termes d’investissement, dans l’attente du nouveau PLF à venir… qui arrivera sans doute trop tard pour lancer d’importants projets. </w:t>
      </w:r>
    </w:p>
    <w:p w14:paraId="0FA34058" w14:textId="77777777" w:rsidR="00F77E6A" w:rsidRDefault="00F77E6A" w:rsidP="00F77E6A">
      <w:pPr>
        <w:spacing w:line="360" w:lineRule="auto"/>
        <w:jc w:val="both"/>
        <w:rPr>
          <w:rFonts w:ascii="Arial" w:hAnsi="Arial" w:cs="Arial"/>
        </w:rPr>
      </w:pPr>
      <w:r>
        <w:rPr>
          <w:rFonts w:ascii="Arial" w:hAnsi="Arial" w:cs="Arial"/>
        </w:rPr>
        <w:t>Enfin, les bâtiments agricoles abandonneraient 4,7 % en termes de surfaces autorisées, en raison des difficultés actuelles rencontrées par le monde agricole, alors que les aides prévues dans le PLF 2025 se trouvent reportées.</w:t>
      </w:r>
    </w:p>
    <w:p w14:paraId="04E836EE" w14:textId="77777777" w:rsidR="00F77E6A" w:rsidRDefault="00F77E6A" w:rsidP="00F77E6A">
      <w:pPr>
        <w:spacing w:line="360" w:lineRule="auto"/>
        <w:jc w:val="both"/>
        <w:rPr>
          <w:rFonts w:ascii="Arial" w:hAnsi="Arial" w:cs="Arial"/>
        </w:rPr>
      </w:pPr>
      <w:r>
        <w:rPr>
          <w:rFonts w:ascii="Arial" w:hAnsi="Arial" w:cs="Arial"/>
        </w:rPr>
        <w:t>Les replis des surfaces autorisées de bâtiments non résidentiels en 2024 (-2,3 %) comme en 2025 (-3,5 %), ainsi que l’écart devenu structurel avec les surfaces commencées en 2024, conduisent à retenir un recul de 6,5 % pour ces dernières en 2025. Elles atteindraient un plus bas historique depuis 1986</w:t>
      </w:r>
      <w:r w:rsidRPr="00F452FE">
        <w:rPr>
          <w:rFonts w:ascii="Arial" w:hAnsi="Arial" w:cs="Arial"/>
        </w:rPr>
        <w:t xml:space="preserve"> </w:t>
      </w:r>
      <w:r>
        <w:rPr>
          <w:rFonts w:ascii="Arial" w:hAnsi="Arial" w:cs="Arial"/>
        </w:rPr>
        <w:t xml:space="preserve">au-moins, à 18,8 millions de m². Seuls les hébergements hôteliers et les bâtiments administratifs se stabiliseraient quasiment, à respectivement +0,6 % et -0,2 %, tous les autres segments décrochant, singulièrement les commerces (-10,6 %) et les bureaux (-16,3 %). </w:t>
      </w:r>
      <w:r>
        <w:rPr>
          <w:rFonts w:ascii="Arial" w:hAnsi="Arial" w:cs="Arial"/>
        </w:rPr>
        <w:tab/>
      </w:r>
    </w:p>
    <w:p w14:paraId="5B8FFC76" w14:textId="4B680573" w:rsidR="00F77E6A" w:rsidRPr="00861F5A" w:rsidRDefault="00F77E6A" w:rsidP="00F77E6A">
      <w:pPr>
        <w:spacing w:line="360" w:lineRule="auto"/>
        <w:jc w:val="both"/>
        <w:rPr>
          <w:rFonts w:ascii="Arial" w:hAnsi="Arial" w:cs="Arial"/>
        </w:rPr>
      </w:pPr>
      <w:r>
        <w:rPr>
          <w:rFonts w:ascii="Arial" w:hAnsi="Arial" w:cs="Arial"/>
        </w:rPr>
        <w:t>Enfin, compte tenu des délais habituels de production, l’activité du non résidentiel neuf plongerait de 15,0 % en volume en 2025. Tous les segments enregistreraient des baisses importantes, au-delà de 7 %, les commerces (-17,4 %), les hébergements hôteliers (-25,2 %) et les bureaux (-25,6 %) ressortant les plus déprimés.</w:t>
      </w:r>
    </w:p>
    <w:p w14:paraId="3DD516F4" w14:textId="77777777" w:rsidR="00F77E6A" w:rsidRDefault="00F77E6A" w:rsidP="00F77E6A">
      <w:pPr>
        <w:spacing w:before="360" w:after="120" w:line="360" w:lineRule="auto"/>
        <w:jc w:val="both"/>
        <w:rPr>
          <w:rFonts w:ascii="Arial" w:hAnsi="Arial" w:cs="Arial"/>
          <w:u w:val="single"/>
        </w:rPr>
      </w:pPr>
      <w:r w:rsidRPr="00103F68">
        <w:rPr>
          <w:rFonts w:ascii="Arial" w:hAnsi="Arial" w:cs="Arial"/>
          <w:u w:val="single"/>
        </w:rPr>
        <w:t xml:space="preserve">3.3. L’amélioration-entretien </w:t>
      </w:r>
    </w:p>
    <w:p w14:paraId="32DE718C" w14:textId="37B0F68D" w:rsidR="00F77E6A" w:rsidRDefault="00F77E6A" w:rsidP="00F77E6A">
      <w:pPr>
        <w:spacing w:line="360" w:lineRule="auto"/>
        <w:jc w:val="both"/>
        <w:rPr>
          <w:rFonts w:ascii="Arial" w:hAnsi="Arial" w:cs="Arial"/>
        </w:rPr>
      </w:pPr>
      <w:r>
        <w:rPr>
          <w:rFonts w:ascii="Arial" w:hAnsi="Arial" w:cs="Arial"/>
        </w:rPr>
        <w:t>En 2025, l</w:t>
      </w:r>
      <w:r w:rsidRPr="00516D87">
        <w:rPr>
          <w:rFonts w:ascii="Arial" w:hAnsi="Arial" w:cs="Arial"/>
        </w:rPr>
        <w:t xml:space="preserve">e </w:t>
      </w:r>
      <w:r>
        <w:rPr>
          <w:rFonts w:ascii="Arial" w:hAnsi="Arial" w:cs="Arial"/>
        </w:rPr>
        <w:t>marché</w:t>
      </w:r>
      <w:r w:rsidRPr="00516D87">
        <w:rPr>
          <w:rFonts w:ascii="Arial" w:hAnsi="Arial" w:cs="Arial"/>
        </w:rPr>
        <w:t xml:space="preserve"> de l'amélioration-entretien </w:t>
      </w:r>
      <w:r w:rsidRPr="0038077A">
        <w:rPr>
          <w:rFonts w:ascii="Arial" w:hAnsi="Arial" w:cs="Arial"/>
        </w:rPr>
        <w:t>ralenti</w:t>
      </w:r>
      <w:r>
        <w:rPr>
          <w:rFonts w:ascii="Arial" w:hAnsi="Arial" w:cs="Arial"/>
        </w:rPr>
        <w:t>rait encore</w:t>
      </w:r>
      <w:r w:rsidRPr="0038077A">
        <w:rPr>
          <w:rFonts w:ascii="Arial" w:hAnsi="Arial" w:cs="Arial"/>
        </w:rPr>
        <w:t>, à +0,</w:t>
      </w:r>
      <w:r>
        <w:rPr>
          <w:rFonts w:ascii="Arial" w:hAnsi="Arial" w:cs="Arial"/>
        </w:rPr>
        <w:t>9 </w:t>
      </w:r>
      <w:r w:rsidRPr="0038077A">
        <w:rPr>
          <w:rFonts w:ascii="Arial" w:hAnsi="Arial" w:cs="Arial"/>
        </w:rPr>
        <w:t xml:space="preserve">% en volume, après </w:t>
      </w:r>
      <w:r>
        <w:rPr>
          <w:rFonts w:ascii="Arial" w:hAnsi="Arial" w:cs="Arial"/>
        </w:rPr>
        <w:t xml:space="preserve">respectivement </w:t>
      </w:r>
      <w:r w:rsidRPr="0038077A">
        <w:rPr>
          <w:rFonts w:ascii="Arial" w:hAnsi="Arial" w:cs="Arial"/>
        </w:rPr>
        <w:t>+1,2</w:t>
      </w:r>
      <w:r>
        <w:rPr>
          <w:rFonts w:ascii="Arial" w:hAnsi="Arial" w:cs="Arial"/>
          <w:sz w:val="24"/>
          <w:szCs w:val="24"/>
        </w:rPr>
        <w:t> </w:t>
      </w:r>
      <w:r w:rsidRPr="0038077A">
        <w:rPr>
          <w:rFonts w:ascii="Arial" w:hAnsi="Arial" w:cs="Arial"/>
        </w:rPr>
        <w:t xml:space="preserve">% </w:t>
      </w:r>
      <w:r>
        <w:rPr>
          <w:rFonts w:ascii="Arial" w:hAnsi="Arial" w:cs="Arial"/>
        </w:rPr>
        <w:t xml:space="preserve">et +2,3 % </w:t>
      </w:r>
      <w:r w:rsidRPr="0038077A">
        <w:rPr>
          <w:rFonts w:ascii="Arial" w:hAnsi="Arial" w:cs="Arial"/>
        </w:rPr>
        <w:t>en 2024</w:t>
      </w:r>
      <w:r>
        <w:rPr>
          <w:rFonts w:ascii="Arial" w:hAnsi="Arial" w:cs="Arial"/>
        </w:rPr>
        <w:t xml:space="preserve"> et 2023</w:t>
      </w:r>
      <w:r w:rsidRPr="0038077A">
        <w:rPr>
          <w:rFonts w:ascii="Arial" w:hAnsi="Arial" w:cs="Arial"/>
        </w:rPr>
        <w:t>.</w:t>
      </w:r>
      <w:r>
        <w:rPr>
          <w:rFonts w:ascii="Arial" w:hAnsi="Arial" w:cs="Arial"/>
        </w:rPr>
        <w:t xml:space="preserve"> </w:t>
      </w:r>
    </w:p>
    <w:p w14:paraId="1AB6D8B6" w14:textId="2A44D806" w:rsidR="00F77E6A" w:rsidRDefault="00F77E6A" w:rsidP="00F77E6A">
      <w:pPr>
        <w:spacing w:line="360" w:lineRule="auto"/>
        <w:jc w:val="both"/>
        <w:rPr>
          <w:rFonts w:ascii="Arial" w:hAnsi="Arial" w:cs="Arial"/>
        </w:rPr>
      </w:pPr>
      <w:r>
        <w:rPr>
          <w:rFonts w:ascii="Arial" w:hAnsi="Arial" w:cs="Arial"/>
        </w:rPr>
        <w:t xml:space="preserve">Plus précisément, le logement accélèrerait très modérément, à +1,0 % à prix constants, </w:t>
      </w:r>
      <w:r w:rsidRPr="006572F7">
        <w:rPr>
          <w:rFonts w:ascii="Arial" w:hAnsi="Arial" w:cs="Arial"/>
          <w:i/>
          <w:iCs/>
        </w:rPr>
        <w:t>versus</w:t>
      </w:r>
      <w:r>
        <w:rPr>
          <w:rFonts w:ascii="Arial" w:hAnsi="Arial" w:cs="Arial"/>
        </w:rPr>
        <w:t xml:space="preserve"> +0,8 % en 2024. La stabilisation des règles de MaPrimeRénov’ (telles qu’elles ont été révisées au 15 mai 2024) permett</w:t>
      </w:r>
      <w:r w:rsidR="00104369">
        <w:rPr>
          <w:rFonts w:ascii="Arial" w:hAnsi="Arial" w:cs="Arial"/>
        </w:rPr>
        <w:t>r</w:t>
      </w:r>
      <w:r>
        <w:rPr>
          <w:rFonts w:ascii="Arial" w:hAnsi="Arial" w:cs="Arial"/>
        </w:rPr>
        <w:t xml:space="preserve">ait, par simple effet de base (très mauvais premier semestre 2024), </w:t>
      </w:r>
      <w:r>
        <w:rPr>
          <w:rFonts w:ascii="Arial" w:hAnsi="Arial" w:cs="Arial"/>
        </w:rPr>
        <w:lastRenderedPageBreak/>
        <w:t>une accélération de la rénovation énergétique, à +1,0 % contre +0,</w:t>
      </w:r>
      <w:r w:rsidR="00104369">
        <w:rPr>
          <w:rFonts w:ascii="Arial" w:hAnsi="Arial" w:cs="Arial"/>
        </w:rPr>
        <w:t>5</w:t>
      </w:r>
      <w:r>
        <w:rPr>
          <w:rFonts w:ascii="Arial" w:hAnsi="Arial" w:cs="Arial"/>
        </w:rPr>
        <w:t> % en 2024</w:t>
      </w:r>
      <w:r w:rsidRPr="00DE707D">
        <w:rPr>
          <w:rFonts w:ascii="Arial" w:hAnsi="Arial" w:cs="Arial"/>
        </w:rPr>
        <w:t xml:space="preserve">. </w:t>
      </w:r>
      <w:r w:rsidRPr="009B3CBF">
        <w:rPr>
          <w:rFonts w:ascii="Arial" w:hAnsi="Arial" w:cs="Arial"/>
        </w:rPr>
        <w:t>Par ailleurs, le volume de travaux non énergétiques</w:t>
      </w:r>
      <w:r>
        <w:rPr>
          <w:rFonts w:ascii="Arial" w:hAnsi="Arial" w:cs="Arial"/>
        </w:rPr>
        <w:t xml:space="preserve"> se maintiendrait quasiment au même rythme qu’en 2024, à +</w:t>
      </w:r>
      <w:r w:rsidR="00104369">
        <w:rPr>
          <w:rFonts w:ascii="Arial" w:hAnsi="Arial" w:cs="Arial"/>
        </w:rPr>
        <w:t>1</w:t>
      </w:r>
      <w:r>
        <w:rPr>
          <w:rFonts w:ascii="Arial" w:hAnsi="Arial" w:cs="Arial"/>
        </w:rPr>
        <w:t>,</w:t>
      </w:r>
      <w:r w:rsidR="00104369">
        <w:rPr>
          <w:rFonts w:ascii="Arial" w:hAnsi="Arial" w:cs="Arial"/>
        </w:rPr>
        <w:t>0</w:t>
      </w:r>
      <w:r>
        <w:rPr>
          <w:rFonts w:ascii="Arial" w:hAnsi="Arial" w:cs="Arial"/>
        </w:rPr>
        <w:t> %, la</w:t>
      </w:r>
      <w:r w:rsidRPr="00D80A1B">
        <w:rPr>
          <w:rFonts w:ascii="Arial" w:hAnsi="Arial" w:cs="Arial"/>
        </w:rPr>
        <w:t xml:space="preserve"> reprise des transactions dans l'ancien</w:t>
      </w:r>
      <w:r>
        <w:rPr>
          <w:rFonts w:ascii="Arial" w:hAnsi="Arial" w:cs="Arial"/>
        </w:rPr>
        <w:t xml:space="preserve"> avec travaux restant contenue</w:t>
      </w:r>
      <w:r w:rsidRPr="00D80A1B">
        <w:rPr>
          <w:rFonts w:ascii="Arial" w:hAnsi="Arial" w:cs="Arial"/>
        </w:rPr>
        <w:t>.</w:t>
      </w:r>
    </w:p>
    <w:p w14:paraId="73A47137" w14:textId="2E202956" w:rsidR="00F77E6A" w:rsidRDefault="00F77E6A" w:rsidP="00F77E6A">
      <w:pPr>
        <w:spacing w:line="360" w:lineRule="auto"/>
        <w:jc w:val="both"/>
        <w:rPr>
          <w:rFonts w:ascii="Arial" w:hAnsi="Arial" w:cs="Arial"/>
        </w:rPr>
      </w:pPr>
      <w:r>
        <w:rPr>
          <w:rFonts w:ascii="Arial" w:hAnsi="Arial" w:cs="Arial"/>
        </w:rPr>
        <w:t>En revanche</w:t>
      </w:r>
      <w:r w:rsidRPr="00520BE2">
        <w:rPr>
          <w:rFonts w:ascii="Arial" w:hAnsi="Arial" w:cs="Arial"/>
        </w:rPr>
        <w:t>, l’activit</w:t>
      </w:r>
      <w:r>
        <w:rPr>
          <w:rFonts w:ascii="Arial" w:hAnsi="Arial" w:cs="Arial"/>
        </w:rPr>
        <w:t xml:space="preserve">é du non résidentiel ralentirait fortement en 2025, à +0,6 % en volume, après la belle dynamique de 2024 (+2,1 %), comme de celle relative aux seuls travaux énergétiques dont le rythme de progression ressortirait trois fois moindre (+1,0 %). </w:t>
      </w:r>
      <w:r w:rsidRPr="00B546F4">
        <w:rPr>
          <w:rFonts w:ascii="Arial" w:hAnsi="Arial" w:cs="Arial"/>
        </w:rPr>
        <w:t xml:space="preserve">Bien que ce </w:t>
      </w:r>
      <w:r>
        <w:rPr>
          <w:rFonts w:ascii="Arial" w:hAnsi="Arial" w:cs="Arial"/>
        </w:rPr>
        <w:t>sous-segment</w:t>
      </w:r>
      <w:r w:rsidRPr="00B546F4">
        <w:rPr>
          <w:rFonts w:ascii="Arial" w:hAnsi="Arial" w:cs="Arial"/>
        </w:rPr>
        <w:t xml:space="preserve"> bénéficie</w:t>
      </w:r>
      <w:r>
        <w:rPr>
          <w:rFonts w:ascii="Arial" w:hAnsi="Arial" w:cs="Arial"/>
        </w:rPr>
        <w:t xml:space="preserve">rait encore des effets liés à </w:t>
      </w:r>
      <w:r w:rsidRPr="00B546F4">
        <w:rPr>
          <w:rFonts w:ascii="Arial" w:hAnsi="Arial" w:cs="Arial"/>
        </w:rPr>
        <w:t xml:space="preserve">l'audit tertiaire et </w:t>
      </w:r>
      <w:r>
        <w:rPr>
          <w:rFonts w:ascii="Arial" w:hAnsi="Arial" w:cs="Arial"/>
        </w:rPr>
        <w:t>au</w:t>
      </w:r>
      <w:r w:rsidRPr="00B546F4">
        <w:rPr>
          <w:rFonts w:ascii="Arial" w:hAnsi="Arial" w:cs="Arial"/>
        </w:rPr>
        <w:t xml:space="preserve"> plan de rénovation </w:t>
      </w:r>
      <w:r>
        <w:rPr>
          <w:rFonts w:ascii="Arial" w:hAnsi="Arial" w:cs="Arial"/>
        </w:rPr>
        <w:t>énergétique</w:t>
      </w:r>
      <w:r w:rsidRPr="00B546F4">
        <w:rPr>
          <w:rFonts w:ascii="Arial" w:hAnsi="Arial" w:cs="Arial"/>
        </w:rPr>
        <w:t xml:space="preserve"> des écoles, l</w:t>
      </w:r>
      <w:r>
        <w:rPr>
          <w:rFonts w:ascii="Arial" w:hAnsi="Arial" w:cs="Arial"/>
        </w:rPr>
        <w:t>’attentisme général jouerait contre</w:t>
      </w:r>
      <w:r w:rsidRPr="00B546F4">
        <w:rPr>
          <w:rFonts w:ascii="Arial" w:hAnsi="Arial" w:cs="Arial"/>
        </w:rPr>
        <w:t>.</w:t>
      </w:r>
    </w:p>
    <w:p w14:paraId="0698468B" w14:textId="77777777" w:rsidR="00F77E6A" w:rsidRPr="008F65BC" w:rsidRDefault="00F77E6A" w:rsidP="00F77E6A">
      <w:pPr>
        <w:spacing w:before="360" w:after="120" w:line="360" w:lineRule="auto"/>
        <w:jc w:val="both"/>
        <w:rPr>
          <w:rFonts w:ascii="Arial" w:hAnsi="Arial" w:cs="Arial"/>
          <w:u w:val="single"/>
        </w:rPr>
      </w:pPr>
      <w:r w:rsidRPr="008F65BC">
        <w:rPr>
          <w:rFonts w:ascii="Arial" w:hAnsi="Arial" w:cs="Arial"/>
          <w:u w:val="single"/>
        </w:rPr>
        <w:t xml:space="preserve">3.4. Le bâtiment </w:t>
      </w:r>
    </w:p>
    <w:p w14:paraId="1AD6E3D7" w14:textId="3CE36033" w:rsidR="00F77E6A" w:rsidRDefault="00F77E6A" w:rsidP="00F77E6A">
      <w:pPr>
        <w:spacing w:after="120" w:line="360" w:lineRule="auto"/>
        <w:jc w:val="both"/>
        <w:rPr>
          <w:rFonts w:ascii="Arial" w:hAnsi="Arial" w:cs="Arial"/>
        </w:rPr>
      </w:pPr>
      <w:r>
        <w:rPr>
          <w:rFonts w:ascii="Arial" w:hAnsi="Arial" w:cs="Arial"/>
        </w:rPr>
        <w:t>L’activité bâtiment reculerait encore de 5,6 % en volume en 2025, après -6,6 % en 2024. Les chutes cumulées</w:t>
      </w:r>
      <w:r w:rsidRPr="0096076A">
        <w:rPr>
          <w:rFonts w:ascii="Arial" w:hAnsi="Arial" w:cs="Arial"/>
        </w:rPr>
        <w:t xml:space="preserve"> du logement neuf (-</w:t>
      </w:r>
      <w:r>
        <w:rPr>
          <w:rFonts w:ascii="Arial" w:hAnsi="Arial" w:cs="Arial"/>
        </w:rPr>
        <w:t>14</w:t>
      </w:r>
      <w:r w:rsidRPr="0096076A">
        <w:rPr>
          <w:rFonts w:ascii="Arial" w:hAnsi="Arial" w:cs="Arial"/>
        </w:rPr>
        <w:t>,</w:t>
      </w:r>
      <w:r>
        <w:rPr>
          <w:rFonts w:ascii="Arial" w:hAnsi="Arial" w:cs="Arial"/>
        </w:rPr>
        <w:t>2 </w:t>
      </w:r>
      <w:r w:rsidRPr="0096076A">
        <w:rPr>
          <w:rFonts w:ascii="Arial" w:hAnsi="Arial" w:cs="Arial"/>
        </w:rPr>
        <w:t>%) et du non résidentiel neuf (-</w:t>
      </w:r>
      <w:r>
        <w:rPr>
          <w:rFonts w:ascii="Arial" w:hAnsi="Arial" w:cs="Arial"/>
        </w:rPr>
        <w:t>15,0 </w:t>
      </w:r>
      <w:r w:rsidRPr="0096076A">
        <w:rPr>
          <w:rFonts w:ascii="Arial" w:hAnsi="Arial" w:cs="Arial"/>
        </w:rPr>
        <w:t>%) l’emporterai</w:t>
      </w:r>
      <w:r>
        <w:rPr>
          <w:rFonts w:ascii="Arial" w:hAnsi="Arial" w:cs="Arial"/>
        </w:rPr>
        <w:t>en</w:t>
      </w:r>
      <w:r w:rsidRPr="0096076A">
        <w:rPr>
          <w:rFonts w:ascii="Arial" w:hAnsi="Arial" w:cs="Arial"/>
        </w:rPr>
        <w:t xml:space="preserve">t largement sur la </w:t>
      </w:r>
      <w:r>
        <w:rPr>
          <w:rFonts w:ascii="Arial" w:hAnsi="Arial" w:cs="Arial"/>
        </w:rPr>
        <w:t>modeste</w:t>
      </w:r>
      <w:r w:rsidRPr="0096076A">
        <w:rPr>
          <w:rFonts w:ascii="Arial" w:hAnsi="Arial" w:cs="Arial"/>
        </w:rPr>
        <w:t xml:space="preserve"> hausse de l’amélioration-entretien</w:t>
      </w:r>
      <w:r>
        <w:rPr>
          <w:rFonts w:ascii="Arial" w:hAnsi="Arial" w:cs="Arial"/>
        </w:rPr>
        <w:t xml:space="preserve"> (+0,9 %)</w:t>
      </w:r>
      <w:r w:rsidRPr="0096076A">
        <w:rPr>
          <w:rFonts w:ascii="Arial" w:hAnsi="Arial" w:cs="Arial"/>
        </w:rPr>
        <w:t>.</w:t>
      </w:r>
    </w:p>
    <w:p w14:paraId="40EF826D" w14:textId="53216E62" w:rsidR="00F77E6A" w:rsidRDefault="00F77E6A" w:rsidP="00F77E6A">
      <w:pPr>
        <w:spacing w:after="120" w:line="360" w:lineRule="auto"/>
        <w:jc w:val="both"/>
        <w:rPr>
          <w:rFonts w:ascii="Arial" w:hAnsi="Arial" w:cs="Arial"/>
        </w:rPr>
      </w:pPr>
      <w:r>
        <w:rPr>
          <w:rFonts w:ascii="Arial" w:hAnsi="Arial" w:cs="Arial"/>
        </w:rPr>
        <w:t>Faute de comprendre l’important et durable surplomb de l’emploi par rapport à l’activité dans le bâtiment, constat qui s’est encore accentué en 2024, nous ne pouvons que retenir l’hypothèse d’un décrochage accéléré de l’emploi (salarié et intérimaire en équivalent-emplois à temps plein) en 2025, à -7</w:t>
      </w:r>
      <w:r w:rsidRPr="00263D5D">
        <w:rPr>
          <w:rFonts w:ascii="Arial" w:hAnsi="Arial" w:cs="Arial"/>
        </w:rPr>
        <w:t>,</w:t>
      </w:r>
      <w:r>
        <w:rPr>
          <w:rFonts w:ascii="Arial" w:hAnsi="Arial" w:cs="Arial"/>
        </w:rPr>
        <w:t>4 </w:t>
      </w:r>
      <w:r w:rsidRPr="00263D5D">
        <w:rPr>
          <w:rFonts w:ascii="Arial" w:hAnsi="Arial" w:cs="Arial"/>
        </w:rPr>
        <w:t>%</w:t>
      </w:r>
      <w:r>
        <w:rPr>
          <w:rFonts w:ascii="Arial" w:hAnsi="Arial" w:cs="Arial"/>
        </w:rPr>
        <w:t>. Ainsi, de l’ordre de 100 </w:t>
      </w:r>
      <w:r w:rsidRPr="00263D5D">
        <w:rPr>
          <w:rFonts w:ascii="Arial" w:hAnsi="Arial" w:cs="Arial"/>
        </w:rPr>
        <w:t xml:space="preserve">000 </w:t>
      </w:r>
      <w:r>
        <w:rPr>
          <w:rFonts w:ascii="Arial" w:hAnsi="Arial" w:cs="Arial"/>
        </w:rPr>
        <w:t xml:space="preserve">postes seraient </w:t>
      </w:r>
      <w:r w:rsidRPr="00263D5D">
        <w:rPr>
          <w:rFonts w:ascii="Arial" w:hAnsi="Arial" w:cs="Arial"/>
        </w:rPr>
        <w:t>détruits sur l’</w:t>
      </w:r>
      <w:r>
        <w:rPr>
          <w:rFonts w:ascii="Arial" w:hAnsi="Arial" w:cs="Arial"/>
        </w:rPr>
        <w:t>ensemble de l’</w:t>
      </w:r>
      <w:r w:rsidRPr="00263D5D">
        <w:rPr>
          <w:rFonts w:ascii="Arial" w:hAnsi="Arial" w:cs="Arial"/>
        </w:rPr>
        <w:t>année.</w:t>
      </w:r>
    </w:p>
    <w:p w14:paraId="3F6B68D6" w14:textId="77777777" w:rsidR="00F77E6A" w:rsidRDefault="00F77E6A" w:rsidP="00F77E6A">
      <w:pPr>
        <w:spacing w:after="120" w:line="360" w:lineRule="auto"/>
        <w:jc w:val="both"/>
        <w:rPr>
          <w:rFonts w:ascii="Arial" w:hAnsi="Arial" w:cs="Arial"/>
        </w:rPr>
      </w:pPr>
    </w:p>
    <w:p w14:paraId="16A1C066" w14:textId="77777777" w:rsidR="00F77E6A" w:rsidRPr="006C2E9A" w:rsidRDefault="00F77E6A" w:rsidP="00F77E6A">
      <w:pPr>
        <w:pStyle w:val="Default"/>
        <w:pBdr>
          <w:top w:val="single" w:sz="4" w:space="1" w:color="auto"/>
          <w:left w:val="single" w:sz="4" w:space="4" w:color="auto"/>
          <w:bottom w:val="single" w:sz="4" w:space="1" w:color="auto"/>
          <w:right w:val="single" w:sz="4" w:space="4" w:color="auto"/>
        </w:pBdr>
        <w:spacing w:line="360" w:lineRule="auto"/>
        <w:jc w:val="both"/>
        <w:rPr>
          <w:b/>
          <w:bCs/>
          <w:sz w:val="22"/>
          <w:szCs w:val="22"/>
          <w:u w:val="single"/>
        </w:rPr>
      </w:pPr>
      <w:r w:rsidRPr="006C2E9A">
        <w:rPr>
          <w:b/>
          <w:bCs/>
          <w:sz w:val="22"/>
          <w:szCs w:val="22"/>
          <w:u w:val="single"/>
        </w:rPr>
        <w:t xml:space="preserve">Avertissement </w:t>
      </w:r>
    </w:p>
    <w:p w14:paraId="565EB6AF" w14:textId="77777777" w:rsidR="00F77E6A" w:rsidRPr="006C2E9A" w:rsidRDefault="00F77E6A" w:rsidP="00F77E6A">
      <w:pPr>
        <w:pStyle w:val="Default"/>
        <w:pBdr>
          <w:top w:val="single" w:sz="4" w:space="1" w:color="auto"/>
          <w:left w:val="single" w:sz="4" w:space="4" w:color="auto"/>
          <w:bottom w:val="single" w:sz="4" w:space="1" w:color="auto"/>
          <w:right w:val="single" w:sz="4" w:space="4" w:color="auto"/>
        </w:pBdr>
        <w:spacing w:line="360" w:lineRule="auto"/>
        <w:jc w:val="both"/>
        <w:rPr>
          <w:sz w:val="22"/>
          <w:szCs w:val="22"/>
        </w:rPr>
      </w:pPr>
    </w:p>
    <w:p w14:paraId="0A93492B" w14:textId="77777777" w:rsidR="00F77E6A" w:rsidRPr="006C2E9A" w:rsidRDefault="00F77E6A" w:rsidP="00F77E6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r w:rsidRPr="00FE156A">
        <w:rPr>
          <w:rFonts w:ascii="Arial" w:hAnsi="Arial" w:cs="Arial"/>
          <w:b/>
          <w:bCs/>
        </w:rPr>
        <w:t>Le champ des autorisations et des mises en chantier, répertoriées dans le tableau 2 qui suit comprend les DROM, de façon à être cohérent avec les statistiques Sit@del2. En revanche, les niveaux de production sont calculés sur la seule France métropolitaine. En effet, la répartition de la production par marché est calée sur une base 20</w:t>
      </w:r>
      <w:r>
        <w:rPr>
          <w:rFonts w:ascii="Arial" w:hAnsi="Arial" w:cs="Arial"/>
          <w:b/>
          <w:bCs/>
        </w:rPr>
        <w:t>21</w:t>
      </w:r>
      <w:r w:rsidRPr="00FE156A">
        <w:rPr>
          <w:rFonts w:ascii="Arial" w:hAnsi="Arial" w:cs="Arial"/>
          <w:b/>
          <w:bCs/>
        </w:rPr>
        <w:t xml:space="preserve"> issue de l’Enquête </w:t>
      </w:r>
      <w:r>
        <w:rPr>
          <w:rFonts w:ascii="Arial" w:hAnsi="Arial" w:cs="Arial"/>
          <w:b/>
          <w:bCs/>
        </w:rPr>
        <w:t xml:space="preserve">ESANE de l’Insee </w:t>
      </w:r>
      <w:r w:rsidRPr="00FE156A">
        <w:rPr>
          <w:rFonts w:ascii="Arial" w:hAnsi="Arial" w:cs="Arial"/>
          <w:b/>
          <w:bCs/>
        </w:rPr>
        <w:t xml:space="preserve">qui n’inclut pas les DROM. Nous avons donc raisonné en niveau France métropolitaine, mais en y appliquant les évolutions observées sur la France entière. Si cette méthode pose un problème théorique, il reste qu’en termes d’évolutions, l’incorporation ou non des DROM dans le calcul global ne modifie que très marginalement les résultats. </w:t>
      </w:r>
    </w:p>
    <w:p w14:paraId="4F6AB82F" w14:textId="77777777" w:rsidR="00F77E6A" w:rsidRDefault="00F77E6A" w:rsidP="00F77E6A">
      <w:pPr>
        <w:spacing w:line="312" w:lineRule="auto"/>
        <w:jc w:val="both"/>
      </w:pPr>
    </w:p>
    <w:p w14:paraId="008DA43A" w14:textId="4D3487AD" w:rsidR="00F77E6A" w:rsidRDefault="00F77E6A">
      <w:pPr>
        <w:rPr>
          <w:rFonts w:ascii="Arial" w:hAnsi="Arial" w:cs="Arial"/>
          <w:b/>
          <w:color w:val="000000" w:themeColor="text1"/>
          <w:sz w:val="28"/>
          <w:szCs w:val="28"/>
          <w:u w:val="single"/>
        </w:rPr>
      </w:pPr>
    </w:p>
    <w:p w14:paraId="6917AE53" w14:textId="77777777" w:rsidR="00BD53DD" w:rsidRDefault="00BD53DD" w:rsidP="00BD53DD">
      <w:pPr>
        <w:spacing w:after="0" w:line="360" w:lineRule="auto"/>
        <w:rPr>
          <w:rFonts w:ascii="Arial" w:hAnsi="Arial" w:cs="Arial"/>
          <w:b/>
          <w:sz w:val="28"/>
          <w:szCs w:val="28"/>
          <w:u w:val="single"/>
        </w:rPr>
      </w:pPr>
    </w:p>
    <w:p w14:paraId="7B38A32B" w14:textId="77777777" w:rsidR="00B4624F" w:rsidRDefault="00B4624F" w:rsidP="00BD53DD">
      <w:pPr>
        <w:rPr>
          <w:rFonts w:ascii="Arial" w:eastAsia="Calibri" w:hAnsi="Arial" w:cs="Arial"/>
          <w:sz w:val="24"/>
          <w:szCs w:val="24"/>
        </w:rPr>
        <w:sectPr w:rsidR="00B4624F" w:rsidSect="00311A7D">
          <w:footerReference w:type="default" r:id="rId22"/>
          <w:headerReference w:type="first" r:id="rId23"/>
          <w:footerReference w:type="first" r:id="rId24"/>
          <w:pgSz w:w="11906" w:h="16838"/>
          <w:pgMar w:top="1417" w:right="1417" w:bottom="1417" w:left="1417" w:header="708" w:footer="708" w:gutter="0"/>
          <w:cols w:space="708"/>
          <w:titlePg/>
          <w:docGrid w:linePitch="360"/>
        </w:sectPr>
      </w:pPr>
    </w:p>
    <w:p w14:paraId="1153304A" w14:textId="77777777" w:rsidR="00C92D8D" w:rsidRDefault="00B4624F" w:rsidP="00B4624F">
      <w:pPr>
        <w:spacing w:after="0" w:line="360" w:lineRule="auto"/>
        <w:jc w:val="center"/>
        <w:rPr>
          <w:rFonts w:ascii="Arial" w:hAnsi="Arial" w:cs="Arial"/>
          <w:b/>
        </w:rPr>
      </w:pPr>
      <w:r>
        <w:rPr>
          <w:rFonts w:ascii="Arial" w:hAnsi="Arial" w:cs="Arial"/>
        </w:rPr>
        <w:lastRenderedPageBreak/>
        <w:t xml:space="preserve">Tableau 2 </w:t>
      </w:r>
      <w:r w:rsidRPr="009B1AD1">
        <w:rPr>
          <w:rFonts w:ascii="Arial" w:hAnsi="Arial" w:cs="Arial"/>
        </w:rPr>
        <w:t>–</w:t>
      </w:r>
      <w:r>
        <w:rPr>
          <w:rFonts w:ascii="Arial" w:hAnsi="Arial" w:cs="Arial"/>
        </w:rPr>
        <w:t xml:space="preserve"> </w:t>
      </w:r>
      <w:r w:rsidRPr="00E958D7">
        <w:rPr>
          <w:rFonts w:ascii="Arial" w:hAnsi="Arial" w:cs="Arial"/>
          <w:b/>
        </w:rPr>
        <w:t>Synthèse des prévisions</w:t>
      </w:r>
    </w:p>
    <w:p w14:paraId="5011F17C" w14:textId="4435E238" w:rsidR="00B4624F" w:rsidRPr="00E958D7" w:rsidRDefault="00C92D8D" w:rsidP="00B4624F">
      <w:pPr>
        <w:spacing w:after="0" w:line="360" w:lineRule="auto"/>
        <w:jc w:val="center"/>
        <w:rPr>
          <w:rFonts w:ascii="Arial" w:hAnsi="Arial" w:cs="Arial"/>
          <w:b/>
        </w:rPr>
      </w:pPr>
      <w:r w:rsidRPr="00C92D8D">
        <w:rPr>
          <w:rFonts w:ascii="Arial" w:hAnsi="Arial" w:cs="Arial"/>
          <w:b/>
          <w:noProof/>
        </w:rPr>
        <w:drawing>
          <wp:inline distT="0" distB="0" distL="0" distR="0" wp14:anchorId="005097F3" wp14:editId="6407DE4F">
            <wp:extent cx="8420662" cy="5256000"/>
            <wp:effectExtent l="0" t="0" r="0" b="1905"/>
            <wp:docPr id="1037435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20662" cy="5256000"/>
                    </a:xfrm>
                    <a:prstGeom prst="rect">
                      <a:avLst/>
                    </a:prstGeom>
                    <a:noFill/>
                    <a:ln>
                      <a:noFill/>
                    </a:ln>
                  </pic:spPr>
                </pic:pic>
              </a:graphicData>
            </a:graphic>
          </wp:inline>
        </w:drawing>
      </w:r>
      <w:r w:rsidR="00B4624F" w:rsidRPr="007A0E46">
        <w:rPr>
          <w:rFonts w:ascii="Arial" w:hAnsi="Arial" w:cs="Arial"/>
          <w:b/>
        </w:rPr>
        <w:t xml:space="preserve"> </w:t>
      </w:r>
    </w:p>
    <w:p w14:paraId="4FE10D7F" w14:textId="1356E6C8" w:rsidR="00D07445" w:rsidRDefault="00B4624F" w:rsidP="00B4624F">
      <w:pPr>
        <w:spacing w:after="0" w:line="360" w:lineRule="auto"/>
        <w:jc w:val="center"/>
        <w:rPr>
          <w:rFonts w:ascii="Arial" w:eastAsia="Calibri" w:hAnsi="Arial" w:cs="Arial"/>
          <w:sz w:val="24"/>
          <w:szCs w:val="24"/>
        </w:rPr>
      </w:pPr>
      <w:r w:rsidRPr="00FF418C">
        <w:rPr>
          <w:rFonts w:ascii="Arial" w:hAnsi="Arial" w:cs="Arial"/>
          <w:i/>
          <w:sz w:val="20"/>
          <w:szCs w:val="20"/>
        </w:rPr>
        <w:t>Sources : M</w:t>
      </w:r>
      <w:r>
        <w:rPr>
          <w:rFonts w:ascii="Arial" w:hAnsi="Arial" w:cs="Arial"/>
          <w:i/>
          <w:sz w:val="20"/>
          <w:szCs w:val="20"/>
        </w:rPr>
        <w:t>TECT</w:t>
      </w:r>
      <w:r w:rsidRPr="00FF418C">
        <w:rPr>
          <w:rFonts w:ascii="Arial" w:hAnsi="Arial" w:cs="Arial"/>
          <w:i/>
          <w:sz w:val="20"/>
          <w:szCs w:val="20"/>
        </w:rPr>
        <w:t>/CGDD/S</w:t>
      </w:r>
      <w:r>
        <w:rPr>
          <w:rFonts w:ascii="Arial" w:hAnsi="Arial" w:cs="Arial"/>
          <w:i/>
          <w:sz w:val="20"/>
          <w:szCs w:val="20"/>
        </w:rPr>
        <w:t>DE</w:t>
      </w:r>
      <w:r w:rsidRPr="00FF418C">
        <w:rPr>
          <w:rFonts w:ascii="Arial" w:hAnsi="Arial" w:cs="Arial"/>
          <w:i/>
          <w:sz w:val="20"/>
          <w:szCs w:val="20"/>
        </w:rPr>
        <w:t>S, Sit@del2</w:t>
      </w:r>
      <w:r>
        <w:rPr>
          <w:rFonts w:ascii="Arial" w:hAnsi="Arial" w:cs="Arial"/>
          <w:i/>
          <w:sz w:val="20"/>
          <w:szCs w:val="20"/>
        </w:rPr>
        <w:t xml:space="preserve"> et Réseau des C</w:t>
      </w:r>
      <w:r w:rsidR="00BC4413">
        <w:rPr>
          <w:rFonts w:ascii="Arial" w:hAnsi="Arial" w:cs="Arial"/>
          <w:i/>
          <w:sz w:val="20"/>
          <w:szCs w:val="20"/>
        </w:rPr>
        <w:t>erc</w:t>
      </w:r>
      <w:r>
        <w:rPr>
          <w:rFonts w:ascii="Arial" w:hAnsi="Arial" w:cs="Arial"/>
          <w:i/>
          <w:sz w:val="20"/>
          <w:szCs w:val="20"/>
        </w:rPr>
        <w:t xml:space="preserve"> </w:t>
      </w:r>
      <w:r w:rsidRPr="00FF418C">
        <w:rPr>
          <w:rFonts w:ascii="Arial" w:hAnsi="Arial" w:cs="Arial"/>
          <w:i/>
          <w:sz w:val="20"/>
          <w:szCs w:val="20"/>
        </w:rPr>
        <w:t>(acquis)</w:t>
      </w:r>
      <w:r>
        <w:rPr>
          <w:rFonts w:ascii="Arial" w:hAnsi="Arial" w:cs="Arial"/>
          <w:i/>
          <w:sz w:val="20"/>
          <w:szCs w:val="20"/>
        </w:rPr>
        <w:t xml:space="preserve"> ; </w:t>
      </w:r>
      <w:r w:rsidRPr="00FF418C">
        <w:rPr>
          <w:rFonts w:ascii="Arial" w:hAnsi="Arial" w:cs="Arial"/>
          <w:i/>
          <w:sz w:val="20"/>
          <w:szCs w:val="20"/>
        </w:rPr>
        <w:t>FFB (estimations et</w:t>
      </w:r>
      <w:r>
        <w:rPr>
          <w:rFonts w:ascii="Arial" w:hAnsi="Arial" w:cs="Arial"/>
          <w:i/>
          <w:sz w:val="20"/>
          <w:szCs w:val="20"/>
        </w:rPr>
        <w:t xml:space="preserve"> </w:t>
      </w:r>
      <w:r w:rsidRPr="00FF418C">
        <w:rPr>
          <w:rFonts w:ascii="Arial" w:hAnsi="Arial" w:cs="Arial"/>
          <w:i/>
          <w:sz w:val="20"/>
          <w:szCs w:val="20"/>
        </w:rPr>
        <w:t>prévisions)</w:t>
      </w:r>
    </w:p>
    <w:sectPr w:rsidR="00D07445" w:rsidSect="00B4624F">
      <w:footerReference w:type="even" r:id="rId26"/>
      <w:footerReference w:type="default" r:id="rId27"/>
      <w:headerReference w:type="first" r:id="rId28"/>
      <w:footerReference w:type="first" r:id="rId2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3AF7E" w14:textId="77777777" w:rsidR="0033768D" w:rsidRDefault="0033768D" w:rsidP="005C55E7">
      <w:pPr>
        <w:spacing w:after="0" w:line="240" w:lineRule="auto"/>
      </w:pPr>
      <w:r>
        <w:separator/>
      </w:r>
    </w:p>
  </w:endnote>
  <w:endnote w:type="continuationSeparator" w:id="0">
    <w:p w14:paraId="4BA65E15" w14:textId="77777777" w:rsidR="0033768D" w:rsidRDefault="0033768D" w:rsidP="005C55E7">
      <w:pPr>
        <w:spacing w:after="0" w:line="240" w:lineRule="auto"/>
      </w:pPr>
      <w:r>
        <w:continuationSeparator/>
      </w:r>
    </w:p>
  </w:endnote>
  <w:endnote w:type="continuationNotice" w:id="1">
    <w:p w14:paraId="2B9A5516" w14:textId="77777777" w:rsidR="0033768D" w:rsidRDefault="0033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4FD4" w14:textId="5B9882DB" w:rsidR="006F65E6" w:rsidRPr="006F65E6" w:rsidRDefault="006F65E6" w:rsidP="006F65E6">
    <w:pPr>
      <w:pStyle w:val="Pieddepage"/>
      <w:jc w:val="center"/>
      <w:rPr>
        <w:rFonts w:ascii="Arial" w:hAnsi="Arial" w:cs="Arial"/>
      </w:rPr>
    </w:pPr>
    <w:r w:rsidRPr="006F65E6">
      <w:rPr>
        <w:rFonts w:ascii="Arial" w:hAnsi="Arial" w:cs="Arial"/>
        <w:bCs/>
      </w:rPr>
      <w:fldChar w:fldCharType="begin"/>
    </w:r>
    <w:r w:rsidRPr="006F65E6">
      <w:rPr>
        <w:rFonts w:ascii="Arial" w:hAnsi="Arial" w:cs="Arial"/>
        <w:bCs/>
      </w:rPr>
      <w:instrText>PAGE  \* Arabic  \* MERGEFORMAT</w:instrText>
    </w:r>
    <w:r w:rsidRPr="006F65E6">
      <w:rPr>
        <w:rFonts w:ascii="Arial" w:hAnsi="Arial" w:cs="Arial"/>
        <w:bCs/>
      </w:rPr>
      <w:fldChar w:fldCharType="separate"/>
    </w:r>
    <w:r>
      <w:rPr>
        <w:rFonts w:ascii="Arial" w:hAnsi="Arial" w:cs="Arial"/>
        <w:bCs/>
        <w:noProof/>
      </w:rPr>
      <w:t>2</w:t>
    </w:r>
    <w:r w:rsidRPr="006F65E6">
      <w:rPr>
        <w:rFonts w:ascii="Arial" w:hAnsi="Arial" w:cs="Arial"/>
        <w:bCs/>
      </w:rPr>
      <w:fldChar w:fldCharType="end"/>
    </w:r>
    <w:r w:rsidRPr="006F65E6">
      <w:rPr>
        <w:rFonts w:ascii="Arial" w:hAnsi="Arial" w:cs="Arial"/>
        <w:bCs/>
      </w:rPr>
      <w:t>/</w:t>
    </w:r>
    <w:r w:rsidRPr="006F65E6">
      <w:rPr>
        <w:rFonts w:ascii="Arial" w:hAnsi="Arial" w:cs="Arial"/>
        <w:bCs/>
      </w:rPr>
      <w:fldChar w:fldCharType="begin"/>
    </w:r>
    <w:r w:rsidRPr="006F65E6">
      <w:rPr>
        <w:rFonts w:ascii="Arial" w:hAnsi="Arial" w:cs="Arial"/>
        <w:bCs/>
      </w:rPr>
      <w:instrText>NUMPAGES  \* Arabic  \* MERGEFORMAT</w:instrText>
    </w:r>
    <w:r w:rsidRPr="006F65E6">
      <w:rPr>
        <w:rFonts w:ascii="Arial" w:hAnsi="Arial" w:cs="Arial"/>
        <w:bCs/>
      </w:rPr>
      <w:fldChar w:fldCharType="separate"/>
    </w:r>
    <w:r>
      <w:rPr>
        <w:rFonts w:ascii="Arial" w:hAnsi="Arial" w:cs="Arial"/>
        <w:bCs/>
        <w:noProof/>
      </w:rPr>
      <w:t>20</w:t>
    </w:r>
    <w:r w:rsidRPr="006F65E6">
      <w:rPr>
        <w:rFonts w:ascii="Arial" w:hAnsi="Arial"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7791"/>
    </w:tblGrid>
    <w:tr w:rsidR="00311A7D" w:rsidRPr="00FF2A70" w14:paraId="0DDAD2EC" w14:textId="77777777" w:rsidTr="00E02D28">
      <w:tc>
        <w:tcPr>
          <w:tcW w:w="999" w:type="dxa"/>
        </w:tcPr>
        <w:p w14:paraId="4B029B02" w14:textId="6CA39BAF" w:rsidR="00311A7D" w:rsidRPr="00FF2A70" w:rsidRDefault="00311A7D" w:rsidP="00311A7D">
          <w:pPr>
            <w:rPr>
              <w:rFonts w:ascii="Calibri" w:eastAsia="Calibri" w:hAnsi="Calibri" w:cs="Times New Roman"/>
            </w:rPr>
          </w:pPr>
          <w:r w:rsidRPr="00FF2A70">
            <w:rPr>
              <w:rFonts w:ascii="System" w:eastAsia="Calibri" w:hAnsi="System" w:cs="Arial"/>
              <w:b/>
              <w:noProof/>
              <w:lang w:eastAsia="fr-FR"/>
            </w:rPr>
            <w:drawing>
              <wp:inline distT="0" distB="0" distL="0" distR="0" wp14:anchorId="1EDA6A7F" wp14:editId="3C345DE8">
                <wp:extent cx="497713" cy="468000"/>
                <wp:effectExtent l="0" t="0" r="0" b="8255"/>
                <wp:docPr id="59" name="Image 59" descr="Afaq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Afaq_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713" cy="468000"/>
                        </a:xfrm>
                        <a:prstGeom prst="rect">
                          <a:avLst/>
                        </a:prstGeom>
                        <a:noFill/>
                        <a:ln>
                          <a:noFill/>
                        </a:ln>
                      </pic:spPr>
                    </pic:pic>
                  </a:graphicData>
                </a:graphic>
              </wp:inline>
            </w:drawing>
          </w:r>
        </w:p>
      </w:tc>
      <w:tc>
        <w:tcPr>
          <w:tcW w:w="7791" w:type="dxa"/>
        </w:tcPr>
        <w:p w14:paraId="3E018A3F" w14:textId="77777777" w:rsidR="00311A7D" w:rsidRPr="00FF2A70" w:rsidRDefault="00311A7D" w:rsidP="00311A7D">
          <w:pPr>
            <w:widowControl w:val="0"/>
            <w:overflowPunct w:val="0"/>
            <w:autoSpaceDE w:val="0"/>
            <w:autoSpaceDN w:val="0"/>
            <w:adjustRightInd w:val="0"/>
            <w:rPr>
              <w:rFonts w:ascii="Arial" w:eastAsia="Times New Roman" w:hAnsi="Arial" w:cs="Times New Roman"/>
              <w:b/>
              <w:sz w:val="16"/>
              <w:szCs w:val="16"/>
              <w:lang w:eastAsia="fr-FR"/>
            </w:rPr>
          </w:pPr>
          <w:r w:rsidRPr="00FF2A70">
            <w:rPr>
              <w:rFonts w:ascii="Arial" w:eastAsia="Times New Roman" w:hAnsi="Arial" w:cs="Times New Roman"/>
              <w:b/>
              <w:sz w:val="16"/>
              <w:szCs w:val="16"/>
              <w:lang w:eastAsia="fr-FR"/>
            </w:rPr>
            <w:t>FEDERATION FRANCAISE DU BATIMENT</w:t>
          </w:r>
        </w:p>
        <w:p w14:paraId="5C2169A7" w14:textId="77777777" w:rsidR="00311A7D" w:rsidRPr="00FF2A70" w:rsidRDefault="00311A7D" w:rsidP="00311A7D">
          <w:pPr>
            <w:widowControl w:val="0"/>
            <w:overflowPunct w:val="0"/>
            <w:autoSpaceDE w:val="0"/>
            <w:autoSpaceDN w:val="0"/>
            <w:adjustRightInd w:val="0"/>
            <w:rPr>
              <w:rFonts w:ascii="Arial" w:eastAsia="Times New Roman" w:hAnsi="Arial" w:cs="Times New Roman"/>
              <w:b/>
              <w:sz w:val="16"/>
              <w:szCs w:val="16"/>
              <w:lang w:eastAsia="fr-FR"/>
            </w:rPr>
          </w:pPr>
          <w:r w:rsidRPr="00FF2A70">
            <w:rPr>
              <w:rFonts w:ascii="Arial" w:eastAsia="Times New Roman" w:hAnsi="Arial" w:cs="Times New Roman"/>
              <w:b/>
              <w:sz w:val="16"/>
              <w:szCs w:val="16"/>
              <w:lang w:eastAsia="fr-FR"/>
            </w:rPr>
            <w:t>33 avenue Kléber</w:t>
          </w:r>
        </w:p>
        <w:p w14:paraId="08DF128C" w14:textId="77777777" w:rsidR="00311A7D" w:rsidRPr="00FF2A70" w:rsidRDefault="00311A7D" w:rsidP="00311A7D">
          <w:pPr>
            <w:widowControl w:val="0"/>
            <w:overflowPunct w:val="0"/>
            <w:autoSpaceDE w:val="0"/>
            <w:autoSpaceDN w:val="0"/>
            <w:adjustRightInd w:val="0"/>
            <w:rPr>
              <w:rFonts w:ascii="Arial" w:eastAsia="Times New Roman" w:hAnsi="Arial" w:cs="Times New Roman"/>
              <w:b/>
              <w:sz w:val="16"/>
              <w:szCs w:val="16"/>
              <w:lang w:eastAsia="fr-FR"/>
            </w:rPr>
          </w:pPr>
          <w:r w:rsidRPr="00FF2A70">
            <w:rPr>
              <w:rFonts w:ascii="Arial" w:eastAsia="Times New Roman" w:hAnsi="Arial" w:cs="Times New Roman"/>
              <w:b/>
              <w:sz w:val="16"/>
              <w:szCs w:val="16"/>
              <w:lang w:eastAsia="fr-FR"/>
            </w:rPr>
            <w:t>75784 PARIS Cedex 16</w:t>
          </w:r>
        </w:p>
        <w:p w14:paraId="70D74765" w14:textId="787DE5AC" w:rsidR="00311A7D" w:rsidRPr="00FF2A70" w:rsidRDefault="00311A7D" w:rsidP="00311A7D">
          <w:pPr>
            <w:rPr>
              <w:rFonts w:ascii="Calibri" w:eastAsia="Calibri" w:hAnsi="Calibri" w:cs="Times New Roman"/>
            </w:rPr>
          </w:pPr>
          <w:r w:rsidRPr="00FF2A70">
            <w:rPr>
              <w:rFonts w:ascii="Arial" w:eastAsia="Times New Roman" w:hAnsi="Arial" w:cs="Times New Roman"/>
              <w:b/>
              <w:sz w:val="16"/>
              <w:szCs w:val="16"/>
              <w:lang w:eastAsia="fr-FR"/>
            </w:rPr>
            <w:t>Téléphone : 01 40 69 51 00</w:t>
          </w:r>
        </w:p>
      </w:tc>
    </w:tr>
  </w:tbl>
  <w:p w14:paraId="56E1C219" w14:textId="44CE0C2E" w:rsidR="00873ABE" w:rsidRPr="00873ABE" w:rsidRDefault="00873ABE" w:rsidP="006F65E6">
    <w:pPr>
      <w:pStyle w:val="Pieddepag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1258" w14:textId="144315AF" w:rsidR="00F21F26" w:rsidRDefault="00F21F2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04A78" w14:textId="1833BF6A" w:rsidR="00F21F26" w:rsidRDefault="00F21F2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3A28" w14:textId="0A55CA04" w:rsidR="00311A7D" w:rsidRPr="00311A7D" w:rsidRDefault="00311A7D" w:rsidP="00311A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8112F" w14:textId="77777777" w:rsidR="0033768D" w:rsidRDefault="0033768D" w:rsidP="005C55E7">
      <w:pPr>
        <w:spacing w:after="0" w:line="240" w:lineRule="auto"/>
      </w:pPr>
      <w:r>
        <w:separator/>
      </w:r>
    </w:p>
  </w:footnote>
  <w:footnote w:type="continuationSeparator" w:id="0">
    <w:p w14:paraId="6C45CB48" w14:textId="77777777" w:rsidR="0033768D" w:rsidRDefault="0033768D" w:rsidP="005C55E7">
      <w:pPr>
        <w:spacing w:after="0" w:line="240" w:lineRule="auto"/>
      </w:pPr>
      <w:r>
        <w:continuationSeparator/>
      </w:r>
    </w:p>
  </w:footnote>
  <w:footnote w:type="continuationNotice" w:id="1">
    <w:p w14:paraId="75950C23" w14:textId="77777777" w:rsidR="0033768D" w:rsidRDefault="00337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8DB4" w14:textId="06B1B32A" w:rsidR="00311A7D" w:rsidRPr="00FF2A70" w:rsidRDefault="00311A7D" w:rsidP="00311A7D">
    <w:pPr>
      <w:tabs>
        <w:tab w:val="center" w:pos="4536"/>
        <w:tab w:val="right" w:pos="8647"/>
      </w:tabs>
      <w:spacing w:after="0" w:line="240" w:lineRule="auto"/>
      <w:jc w:val="both"/>
      <w:rPr>
        <w:rFonts w:ascii="Calibri" w:eastAsia="Calibri" w:hAnsi="Calibri" w:cs="Times New Roman"/>
      </w:rPr>
    </w:pPr>
    <w:r w:rsidRPr="00FF2A70">
      <w:rPr>
        <w:rFonts w:ascii="Calibri" w:eastAsia="Calibri" w:hAnsi="Calibri" w:cs="Arial"/>
        <w:noProof/>
        <w:lang w:eastAsia="fr-FR"/>
      </w:rPr>
      <w:drawing>
        <wp:inline distT="0" distB="0" distL="0" distR="0" wp14:anchorId="408D17C5" wp14:editId="7FD5B130">
          <wp:extent cx="1541360" cy="648000"/>
          <wp:effectExtent l="0" t="0" r="1905" b="0"/>
          <wp:docPr id="58" name="Image 58" descr="logo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ff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360" cy="648000"/>
                  </a:xfrm>
                  <a:prstGeom prst="rect">
                    <a:avLst/>
                  </a:prstGeom>
                  <a:noFill/>
                  <a:ln>
                    <a:noFill/>
                  </a:ln>
                </pic:spPr>
              </pic:pic>
            </a:graphicData>
          </a:graphic>
        </wp:inline>
      </w:drawing>
    </w:r>
    <w:r>
      <w:rPr>
        <w:rFonts w:ascii="Arial" w:eastAsia="Times New Roman" w:hAnsi="Arial" w:cs="Arial"/>
        <w:lang w:eastAsia="fr-FR"/>
      </w:rPr>
      <w:tab/>
    </w:r>
    <w:r>
      <w:rPr>
        <w:rFonts w:ascii="Arial" w:eastAsia="Times New Roman" w:hAnsi="Arial" w:cs="Arial"/>
        <w:lang w:eastAsia="fr-FR"/>
      </w:rPr>
      <w:tab/>
    </w:r>
    <w:r w:rsidRPr="00FF2A70">
      <w:rPr>
        <w:rFonts w:ascii="Arial" w:eastAsia="Times New Roman" w:hAnsi="Arial" w:cs="Arial"/>
        <w:lang w:eastAsia="fr-FR"/>
      </w:rPr>
      <w:t xml:space="preserve">Paris, </w:t>
    </w:r>
    <w:r>
      <w:rPr>
        <w:rFonts w:ascii="Arial" w:eastAsia="Times New Roman" w:hAnsi="Arial" w:cs="Arial"/>
        <w:lang w:eastAsia="fr-FR"/>
      </w:rPr>
      <w:t>1</w:t>
    </w:r>
    <w:r w:rsidR="00F77E6A">
      <w:rPr>
        <w:rFonts w:ascii="Arial" w:eastAsia="Times New Roman" w:hAnsi="Arial" w:cs="Arial"/>
        <w:lang w:eastAsia="fr-FR"/>
      </w:rPr>
      <w:t>7</w:t>
    </w:r>
    <w:r>
      <w:rPr>
        <w:rFonts w:ascii="Arial" w:eastAsia="Times New Roman" w:hAnsi="Arial" w:cs="Arial"/>
        <w:lang w:eastAsia="fr-FR"/>
      </w:rPr>
      <w:t xml:space="preserve"> décembre </w:t>
    </w:r>
    <w:r w:rsidRPr="00FF2A70">
      <w:rPr>
        <w:rFonts w:ascii="Arial" w:eastAsia="Times New Roman" w:hAnsi="Arial" w:cs="Arial"/>
        <w:lang w:eastAsia="fr-FR"/>
      </w:rPr>
      <w:t>20</w:t>
    </w:r>
    <w:r>
      <w:rPr>
        <w:rFonts w:ascii="Arial" w:eastAsia="Times New Roman" w:hAnsi="Arial" w:cs="Arial"/>
        <w:lang w:eastAsia="fr-FR"/>
      </w:rPr>
      <w:t>2</w:t>
    </w:r>
    <w:r w:rsidR="00F77E6A">
      <w:rPr>
        <w:rFonts w:ascii="Arial" w:eastAsia="Times New Roman" w:hAnsi="Arial" w:cs="Arial"/>
        <w:lang w:eastAsia="fr-FR"/>
      </w:rPr>
      <w:t>4</w:t>
    </w:r>
  </w:p>
  <w:p w14:paraId="27F4A3E4" w14:textId="5468629F" w:rsidR="00B4624F" w:rsidRDefault="00B462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69D1" w14:textId="4740F1EA" w:rsidR="00311A7D" w:rsidRDefault="00311A7D" w:rsidP="00311A7D">
    <w:pPr>
      <w:tabs>
        <w:tab w:val="center" w:pos="4536"/>
        <w:tab w:val="right" w:pos="8647"/>
      </w:tabs>
      <w:spacing w:after="0" w:line="240" w:lineRule="auto"/>
      <w:jc w:val="both"/>
    </w:pP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2pt;height:89.4pt" o:bullet="t">
        <v:imagedata r:id="rId1" o:title="art5E8E"/>
      </v:shape>
    </w:pict>
  </w:numPicBullet>
  <w:numPicBullet w:numPicBulletId="1">
    <w:pict>
      <v:shape id="_x0000_i1027" type="#_x0000_t75" style="width:1in;height:95.4pt" o:bullet="t">
        <v:imagedata r:id="rId2" o:title="art42AD"/>
      </v:shape>
    </w:pict>
  </w:numPicBullet>
  <w:abstractNum w:abstractNumId="0" w15:restartNumberingAfterBreak="0">
    <w:nsid w:val="023A0E0A"/>
    <w:multiLevelType w:val="hybridMultilevel"/>
    <w:tmpl w:val="69D6BEE0"/>
    <w:lvl w:ilvl="0" w:tplc="E51A987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65136"/>
    <w:multiLevelType w:val="hybridMultilevel"/>
    <w:tmpl w:val="8F08A2E2"/>
    <w:lvl w:ilvl="0" w:tplc="5BB45C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B34E0"/>
    <w:multiLevelType w:val="hybridMultilevel"/>
    <w:tmpl w:val="627EE82A"/>
    <w:lvl w:ilvl="0" w:tplc="057EF92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352B2"/>
    <w:multiLevelType w:val="hybridMultilevel"/>
    <w:tmpl w:val="6F8E27C4"/>
    <w:lvl w:ilvl="0" w:tplc="F168E93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91EDF"/>
    <w:multiLevelType w:val="hybridMultilevel"/>
    <w:tmpl w:val="1F94EF1A"/>
    <w:lvl w:ilvl="0" w:tplc="4400241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0E853C8E"/>
    <w:multiLevelType w:val="hybridMultilevel"/>
    <w:tmpl w:val="C7DE0544"/>
    <w:lvl w:ilvl="0" w:tplc="F168E93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D2AB4"/>
    <w:multiLevelType w:val="hybridMultilevel"/>
    <w:tmpl w:val="C7A20F9C"/>
    <w:lvl w:ilvl="0" w:tplc="4E7C72F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7A3216"/>
    <w:multiLevelType w:val="hybridMultilevel"/>
    <w:tmpl w:val="93CC9CE8"/>
    <w:lvl w:ilvl="0" w:tplc="CB0055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7F21C0"/>
    <w:multiLevelType w:val="hybridMultilevel"/>
    <w:tmpl w:val="ECD2C416"/>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096C63"/>
    <w:multiLevelType w:val="hybridMultilevel"/>
    <w:tmpl w:val="2BC4670C"/>
    <w:lvl w:ilvl="0" w:tplc="956AA6A8">
      <w:start w:val="1"/>
      <w:numFmt w:val="upperRoman"/>
      <w:lvlText w:val="%1."/>
      <w:lvlJc w:val="right"/>
      <w:pPr>
        <w:ind w:left="284"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47123A"/>
    <w:multiLevelType w:val="hybridMultilevel"/>
    <w:tmpl w:val="4134E188"/>
    <w:lvl w:ilvl="0" w:tplc="F124B844">
      <w:start w:val="20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4048B1"/>
    <w:multiLevelType w:val="hybridMultilevel"/>
    <w:tmpl w:val="850ED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4D106C"/>
    <w:multiLevelType w:val="hybridMultilevel"/>
    <w:tmpl w:val="00B0B438"/>
    <w:lvl w:ilvl="0" w:tplc="A40027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464575"/>
    <w:multiLevelType w:val="hybridMultilevel"/>
    <w:tmpl w:val="EEB889AA"/>
    <w:lvl w:ilvl="0" w:tplc="AFC6E7A0">
      <w:start w:val="2"/>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0C416D"/>
    <w:multiLevelType w:val="hybridMultilevel"/>
    <w:tmpl w:val="2CB8FD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738FC"/>
    <w:multiLevelType w:val="hybridMultilevel"/>
    <w:tmpl w:val="C68A23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262A56D9"/>
    <w:multiLevelType w:val="hybridMultilevel"/>
    <w:tmpl w:val="131469B4"/>
    <w:lvl w:ilvl="0" w:tplc="4E7C72F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1F69DE"/>
    <w:multiLevelType w:val="hybridMultilevel"/>
    <w:tmpl w:val="9086DDB6"/>
    <w:lvl w:ilvl="0" w:tplc="06BCA52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B4333A"/>
    <w:multiLevelType w:val="hybridMultilevel"/>
    <w:tmpl w:val="F1086FC6"/>
    <w:lvl w:ilvl="0" w:tplc="72F6E4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14C07"/>
    <w:multiLevelType w:val="hybridMultilevel"/>
    <w:tmpl w:val="B010D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6E7DEB"/>
    <w:multiLevelType w:val="hybridMultilevel"/>
    <w:tmpl w:val="DB7A796C"/>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DB32D1"/>
    <w:multiLevelType w:val="hybridMultilevel"/>
    <w:tmpl w:val="DD9ADE7C"/>
    <w:lvl w:ilvl="0" w:tplc="1246655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4C717F"/>
    <w:multiLevelType w:val="hybridMultilevel"/>
    <w:tmpl w:val="95AED9BC"/>
    <w:lvl w:ilvl="0" w:tplc="C12E89C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EA0307"/>
    <w:multiLevelType w:val="hybridMultilevel"/>
    <w:tmpl w:val="5A780352"/>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474376"/>
    <w:multiLevelType w:val="hybridMultilevel"/>
    <w:tmpl w:val="AF7A51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E713F0"/>
    <w:multiLevelType w:val="hybridMultilevel"/>
    <w:tmpl w:val="0874CD56"/>
    <w:lvl w:ilvl="0" w:tplc="0FE6472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A419F2"/>
    <w:multiLevelType w:val="hybridMultilevel"/>
    <w:tmpl w:val="0CA2EB2E"/>
    <w:lvl w:ilvl="0" w:tplc="F124B844">
      <w:start w:val="20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125666"/>
    <w:multiLevelType w:val="hybridMultilevel"/>
    <w:tmpl w:val="F5C410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0C610F"/>
    <w:multiLevelType w:val="hybridMultilevel"/>
    <w:tmpl w:val="7EA60440"/>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0669E0"/>
    <w:multiLevelType w:val="hybridMultilevel"/>
    <w:tmpl w:val="C322AB92"/>
    <w:lvl w:ilvl="0" w:tplc="06BCA522">
      <w:numFmt w:val="bullet"/>
      <w:lvlText w:val="-"/>
      <w:lvlJc w:val="left"/>
      <w:pPr>
        <w:ind w:left="780" w:hanging="360"/>
      </w:pPr>
      <w:rPr>
        <w:rFonts w:ascii="Arial" w:eastAsia="Calibri"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60A1456B"/>
    <w:multiLevelType w:val="hybridMultilevel"/>
    <w:tmpl w:val="9FBEAC0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178120E"/>
    <w:multiLevelType w:val="hybridMultilevel"/>
    <w:tmpl w:val="B1602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CD4A99"/>
    <w:multiLevelType w:val="hybridMultilevel"/>
    <w:tmpl w:val="8D8EFC2C"/>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44179F"/>
    <w:multiLevelType w:val="hybridMultilevel"/>
    <w:tmpl w:val="CD1667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406A37"/>
    <w:multiLevelType w:val="hybridMultilevel"/>
    <w:tmpl w:val="2188B1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7C1091"/>
    <w:multiLevelType w:val="hybridMultilevel"/>
    <w:tmpl w:val="64BAC2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212737"/>
    <w:multiLevelType w:val="hybridMultilevel"/>
    <w:tmpl w:val="8FCE3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9B2016"/>
    <w:multiLevelType w:val="hybridMultilevel"/>
    <w:tmpl w:val="40B4C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8332E0"/>
    <w:multiLevelType w:val="hybridMultilevel"/>
    <w:tmpl w:val="E646C656"/>
    <w:lvl w:ilvl="0" w:tplc="58A4F88A">
      <w:start w:val="1"/>
      <w:numFmt w:val="bullet"/>
      <w:lvlText w:val=""/>
      <w:lvlPicBulletId w:val="1"/>
      <w:lvlJc w:val="left"/>
      <w:pPr>
        <w:tabs>
          <w:tab w:val="num" w:pos="720"/>
        </w:tabs>
        <w:ind w:left="720" w:hanging="360"/>
      </w:pPr>
      <w:rPr>
        <w:rFonts w:ascii="Symbol" w:hAnsi="Symbol" w:hint="default"/>
      </w:rPr>
    </w:lvl>
    <w:lvl w:ilvl="1" w:tplc="7C7410BE" w:tentative="1">
      <w:start w:val="1"/>
      <w:numFmt w:val="bullet"/>
      <w:lvlText w:val=""/>
      <w:lvlPicBulletId w:val="1"/>
      <w:lvlJc w:val="left"/>
      <w:pPr>
        <w:tabs>
          <w:tab w:val="num" w:pos="1440"/>
        </w:tabs>
        <w:ind w:left="1440" w:hanging="360"/>
      </w:pPr>
      <w:rPr>
        <w:rFonts w:ascii="Symbol" w:hAnsi="Symbol" w:hint="default"/>
      </w:rPr>
    </w:lvl>
    <w:lvl w:ilvl="2" w:tplc="C32E74E8" w:tentative="1">
      <w:start w:val="1"/>
      <w:numFmt w:val="bullet"/>
      <w:lvlText w:val=""/>
      <w:lvlPicBulletId w:val="1"/>
      <w:lvlJc w:val="left"/>
      <w:pPr>
        <w:tabs>
          <w:tab w:val="num" w:pos="2160"/>
        </w:tabs>
        <w:ind w:left="2160" w:hanging="360"/>
      </w:pPr>
      <w:rPr>
        <w:rFonts w:ascii="Symbol" w:hAnsi="Symbol" w:hint="default"/>
      </w:rPr>
    </w:lvl>
    <w:lvl w:ilvl="3" w:tplc="894A5F32" w:tentative="1">
      <w:start w:val="1"/>
      <w:numFmt w:val="bullet"/>
      <w:lvlText w:val=""/>
      <w:lvlPicBulletId w:val="1"/>
      <w:lvlJc w:val="left"/>
      <w:pPr>
        <w:tabs>
          <w:tab w:val="num" w:pos="2880"/>
        </w:tabs>
        <w:ind w:left="2880" w:hanging="360"/>
      </w:pPr>
      <w:rPr>
        <w:rFonts w:ascii="Symbol" w:hAnsi="Symbol" w:hint="default"/>
      </w:rPr>
    </w:lvl>
    <w:lvl w:ilvl="4" w:tplc="8286B744" w:tentative="1">
      <w:start w:val="1"/>
      <w:numFmt w:val="bullet"/>
      <w:lvlText w:val=""/>
      <w:lvlPicBulletId w:val="1"/>
      <w:lvlJc w:val="left"/>
      <w:pPr>
        <w:tabs>
          <w:tab w:val="num" w:pos="3600"/>
        </w:tabs>
        <w:ind w:left="3600" w:hanging="360"/>
      </w:pPr>
      <w:rPr>
        <w:rFonts w:ascii="Symbol" w:hAnsi="Symbol" w:hint="default"/>
      </w:rPr>
    </w:lvl>
    <w:lvl w:ilvl="5" w:tplc="488C792A" w:tentative="1">
      <w:start w:val="1"/>
      <w:numFmt w:val="bullet"/>
      <w:lvlText w:val=""/>
      <w:lvlPicBulletId w:val="1"/>
      <w:lvlJc w:val="left"/>
      <w:pPr>
        <w:tabs>
          <w:tab w:val="num" w:pos="4320"/>
        </w:tabs>
        <w:ind w:left="4320" w:hanging="360"/>
      </w:pPr>
      <w:rPr>
        <w:rFonts w:ascii="Symbol" w:hAnsi="Symbol" w:hint="default"/>
      </w:rPr>
    </w:lvl>
    <w:lvl w:ilvl="6" w:tplc="E5826D2A" w:tentative="1">
      <w:start w:val="1"/>
      <w:numFmt w:val="bullet"/>
      <w:lvlText w:val=""/>
      <w:lvlPicBulletId w:val="1"/>
      <w:lvlJc w:val="left"/>
      <w:pPr>
        <w:tabs>
          <w:tab w:val="num" w:pos="5040"/>
        </w:tabs>
        <w:ind w:left="5040" w:hanging="360"/>
      </w:pPr>
      <w:rPr>
        <w:rFonts w:ascii="Symbol" w:hAnsi="Symbol" w:hint="default"/>
      </w:rPr>
    </w:lvl>
    <w:lvl w:ilvl="7" w:tplc="4AA2A144" w:tentative="1">
      <w:start w:val="1"/>
      <w:numFmt w:val="bullet"/>
      <w:lvlText w:val=""/>
      <w:lvlPicBulletId w:val="1"/>
      <w:lvlJc w:val="left"/>
      <w:pPr>
        <w:tabs>
          <w:tab w:val="num" w:pos="5760"/>
        </w:tabs>
        <w:ind w:left="5760" w:hanging="360"/>
      </w:pPr>
      <w:rPr>
        <w:rFonts w:ascii="Symbol" w:hAnsi="Symbol" w:hint="default"/>
      </w:rPr>
    </w:lvl>
    <w:lvl w:ilvl="8" w:tplc="19342C1E" w:tentative="1">
      <w:start w:val="1"/>
      <w:numFmt w:val="bullet"/>
      <w:lvlText w:val=""/>
      <w:lvlPicBulletId w:val="1"/>
      <w:lvlJc w:val="left"/>
      <w:pPr>
        <w:tabs>
          <w:tab w:val="num" w:pos="6480"/>
        </w:tabs>
        <w:ind w:left="6480" w:hanging="360"/>
      </w:pPr>
      <w:rPr>
        <w:rFonts w:ascii="Symbol" w:hAnsi="Symbol" w:hint="default"/>
      </w:rPr>
    </w:lvl>
  </w:abstractNum>
  <w:num w:numId="1" w16cid:durableId="1602033304">
    <w:abstractNumId w:val="25"/>
  </w:num>
  <w:num w:numId="2" w16cid:durableId="2125463819">
    <w:abstractNumId w:val="28"/>
  </w:num>
  <w:num w:numId="3" w16cid:durableId="294336989">
    <w:abstractNumId w:val="7"/>
  </w:num>
  <w:num w:numId="4" w16cid:durableId="412557429">
    <w:abstractNumId w:val="9"/>
  </w:num>
  <w:num w:numId="5" w16cid:durableId="1337347078">
    <w:abstractNumId w:val="33"/>
  </w:num>
  <w:num w:numId="6" w16cid:durableId="1439565170">
    <w:abstractNumId w:val="30"/>
  </w:num>
  <w:num w:numId="7" w16cid:durableId="1659573173">
    <w:abstractNumId w:val="34"/>
  </w:num>
  <w:num w:numId="8" w16cid:durableId="1255211556">
    <w:abstractNumId w:val="35"/>
  </w:num>
  <w:num w:numId="9" w16cid:durableId="782722899">
    <w:abstractNumId w:val="0"/>
  </w:num>
  <w:num w:numId="10" w16cid:durableId="414282915">
    <w:abstractNumId w:val="3"/>
  </w:num>
  <w:num w:numId="11" w16cid:durableId="17557774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784656">
    <w:abstractNumId w:val="5"/>
  </w:num>
  <w:num w:numId="13" w16cid:durableId="1013458489">
    <w:abstractNumId w:val="4"/>
  </w:num>
  <w:num w:numId="14" w16cid:durableId="1354385234">
    <w:abstractNumId w:val="19"/>
  </w:num>
  <w:num w:numId="15" w16cid:durableId="1528326865">
    <w:abstractNumId w:val="37"/>
  </w:num>
  <w:num w:numId="16" w16cid:durableId="726689447">
    <w:abstractNumId w:val="23"/>
  </w:num>
  <w:num w:numId="17" w16cid:durableId="1917669880">
    <w:abstractNumId w:val="8"/>
  </w:num>
  <w:num w:numId="18" w16cid:durableId="474032546">
    <w:abstractNumId w:val="20"/>
  </w:num>
  <w:num w:numId="19" w16cid:durableId="607007645">
    <w:abstractNumId w:val="14"/>
  </w:num>
  <w:num w:numId="20" w16cid:durableId="870722619">
    <w:abstractNumId w:val="11"/>
  </w:num>
  <w:num w:numId="21" w16cid:durableId="734353125">
    <w:abstractNumId w:val="27"/>
  </w:num>
  <w:num w:numId="22" w16cid:durableId="1018123648">
    <w:abstractNumId w:val="24"/>
  </w:num>
  <w:num w:numId="23" w16cid:durableId="470907020">
    <w:abstractNumId w:val="29"/>
  </w:num>
  <w:num w:numId="24" w16cid:durableId="1504776914">
    <w:abstractNumId w:val="1"/>
  </w:num>
  <w:num w:numId="25" w16cid:durableId="806699258">
    <w:abstractNumId w:val="13"/>
  </w:num>
  <w:num w:numId="26" w16cid:durableId="75251555">
    <w:abstractNumId w:val="17"/>
  </w:num>
  <w:num w:numId="27" w16cid:durableId="411509191">
    <w:abstractNumId w:val="2"/>
  </w:num>
  <w:num w:numId="28" w16cid:durableId="1382048307">
    <w:abstractNumId w:val="10"/>
  </w:num>
  <w:num w:numId="29" w16cid:durableId="594436428">
    <w:abstractNumId w:val="26"/>
  </w:num>
  <w:num w:numId="30" w16cid:durableId="482547228">
    <w:abstractNumId w:val="32"/>
  </w:num>
  <w:num w:numId="31" w16cid:durableId="1902594977">
    <w:abstractNumId w:val="22"/>
  </w:num>
  <w:num w:numId="32" w16cid:durableId="602880080">
    <w:abstractNumId w:val="31"/>
  </w:num>
  <w:num w:numId="33" w16cid:durableId="132599033">
    <w:abstractNumId w:val="21"/>
  </w:num>
  <w:num w:numId="34" w16cid:durableId="1769734446">
    <w:abstractNumId w:val="38"/>
  </w:num>
  <w:num w:numId="35" w16cid:durableId="1499618392">
    <w:abstractNumId w:val="16"/>
  </w:num>
  <w:num w:numId="36" w16cid:durableId="1079601524">
    <w:abstractNumId w:val="6"/>
  </w:num>
  <w:num w:numId="37" w16cid:durableId="1782069366">
    <w:abstractNumId w:val="12"/>
  </w:num>
  <w:num w:numId="38" w16cid:durableId="1096288443">
    <w:abstractNumId w:val="15"/>
  </w:num>
  <w:num w:numId="39" w16cid:durableId="83262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F7"/>
    <w:rsid w:val="0000025A"/>
    <w:rsid w:val="0000037C"/>
    <w:rsid w:val="00001B45"/>
    <w:rsid w:val="00002021"/>
    <w:rsid w:val="0000265A"/>
    <w:rsid w:val="000030AB"/>
    <w:rsid w:val="00003CD6"/>
    <w:rsid w:val="000040F1"/>
    <w:rsid w:val="00005505"/>
    <w:rsid w:val="000057C7"/>
    <w:rsid w:val="0000620B"/>
    <w:rsid w:val="0000684C"/>
    <w:rsid w:val="00006998"/>
    <w:rsid w:val="00006CEA"/>
    <w:rsid w:val="00010236"/>
    <w:rsid w:val="000107F3"/>
    <w:rsid w:val="00011758"/>
    <w:rsid w:val="000123B7"/>
    <w:rsid w:val="00013124"/>
    <w:rsid w:val="00013290"/>
    <w:rsid w:val="0001402F"/>
    <w:rsid w:val="00015378"/>
    <w:rsid w:val="00015921"/>
    <w:rsid w:val="00015A86"/>
    <w:rsid w:val="000166B2"/>
    <w:rsid w:val="00016D90"/>
    <w:rsid w:val="000179C0"/>
    <w:rsid w:val="000204A1"/>
    <w:rsid w:val="0002051F"/>
    <w:rsid w:val="00020CFE"/>
    <w:rsid w:val="000215DA"/>
    <w:rsid w:val="00021667"/>
    <w:rsid w:val="00021F7A"/>
    <w:rsid w:val="00023DFC"/>
    <w:rsid w:val="000246A9"/>
    <w:rsid w:val="00024701"/>
    <w:rsid w:val="000250F8"/>
    <w:rsid w:val="00026499"/>
    <w:rsid w:val="00027481"/>
    <w:rsid w:val="00027753"/>
    <w:rsid w:val="00027F1D"/>
    <w:rsid w:val="0003095E"/>
    <w:rsid w:val="00031A72"/>
    <w:rsid w:val="00032375"/>
    <w:rsid w:val="000324CC"/>
    <w:rsid w:val="000336E7"/>
    <w:rsid w:val="000342A5"/>
    <w:rsid w:val="000343F7"/>
    <w:rsid w:val="000347A8"/>
    <w:rsid w:val="00034E56"/>
    <w:rsid w:val="00036091"/>
    <w:rsid w:val="0003633C"/>
    <w:rsid w:val="0003648A"/>
    <w:rsid w:val="0003728A"/>
    <w:rsid w:val="0003734F"/>
    <w:rsid w:val="00037420"/>
    <w:rsid w:val="00037BE5"/>
    <w:rsid w:val="00037EC6"/>
    <w:rsid w:val="00037FCD"/>
    <w:rsid w:val="00040541"/>
    <w:rsid w:val="00040E05"/>
    <w:rsid w:val="000414A6"/>
    <w:rsid w:val="000420EB"/>
    <w:rsid w:val="00042E8B"/>
    <w:rsid w:val="00043416"/>
    <w:rsid w:val="00043460"/>
    <w:rsid w:val="0004385A"/>
    <w:rsid w:val="00043A1E"/>
    <w:rsid w:val="000442FC"/>
    <w:rsid w:val="000446BE"/>
    <w:rsid w:val="000457FA"/>
    <w:rsid w:val="00045AAA"/>
    <w:rsid w:val="000461C4"/>
    <w:rsid w:val="0004659F"/>
    <w:rsid w:val="00046C8F"/>
    <w:rsid w:val="00046FE4"/>
    <w:rsid w:val="000473F8"/>
    <w:rsid w:val="00047471"/>
    <w:rsid w:val="000509EF"/>
    <w:rsid w:val="00050E59"/>
    <w:rsid w:val="00050FCC"/>
    <w:rsid w:val="00051846"/>
    <w:rsid w:val="00051B72"/>
    <w:rsid w:val="000521C5"/>
    <w:rsid w:val="00052D1D"/>
    <w:rsid w:val="00052F7E"/>
    <w:rsid w:val="000534A9"/>
    <w:rsid w:val="0005366F"/>
    <w:rsid w:val="0005399C"/>
    <w:rsid w:val="00053FF1"/>
    <w:rsid w:val="00054280"/>
    <w:rsid w:val="000546AD"/>
    <w:rsid w:val="0005489A"/>
    <w:rsid w:val="00054983"/>
    <w:rsid w:val="00054C73"/>
    <w:rsid w:val="00054DBD"/>
    <w:rsid w:val="0005549B"/>
    <w:rsid w:val="00055E4A"/>
    <w:rsid w:val="00055EDD"/>
    <w:rsid w:val="000562D8"/>
    <w:rsid w:val="00056974"/>
    <w:rsid w:val="00056FB3"/>
    <w:rsid w:val="0006117A"/>
    <w:rsid w:val="0006189D"/>
    <w:rsid w:val="00061EE7"/>
    <w:rsid w:val="00061FE7"/>
    <w:rsid w:val="000626DC"/>
    <w:rsid w:val="00062E27"/>
    <w:rsid w:val="00063BA8"/>
    <w:rsid w:val="00064D54"/>
    <w:rsid w:val="00065C34"/>
    <w:rsid w:val="000661BE"/>
    <w:rsid w:val="000670B4"/>
    <w:rsid w:val="00067D9C"/>
    <w:rsid w:val="00070166"/>
    <w:rsid w:val="000704F9"/>
    <w:rsid w:val="00070C66"/>
    <w:rsid w:val="0007121E"/>
    <w:rsid w:val="00071E65"/>
    <w:rsid w:val="00072003"/>
    <w:rsid w:val="00072664"/>
    <w:rsid w:val="0007287A"/>
    <w:rsid w:val="00072BAA"/>
    <w:rsid w:val="0007365E"/>
    <w:rsid w:val="000739A7"/>
    <w:rsid w:val="00073E05"/>
    <w:rsid w:val="000740E4"/>
    <w:rsid w:val="00074FD3"/>
    <w:rsid w:val="0007530B"/>
    <w:rsid w:val="000762B0"/>
    <w:rsid w:val="00076B98"/>
    <w:rsid w:val="00077454"/>
    <w:rsid w:val="0007789D"/>
    <w:rsid w:val="00077F9A"/>
    <w:rsid w:val="0008014F"/>
    <w:rsid w:val="00080B83"/>
    <w:rsid w:val="00080E6C"/>
    <w:rsid w:val="00081454"/>
    <w:rsid w:val="00081EDF"/>
    <w:rsid w:val="0008288B"/>
    <w:rsid w:val="00083250"/>
    <w:rsid w:val="00083339"/>
    <w:rsid w:val="00083424"/>
    <w:rsid w:val="000836CE"/>
    <w:rsid w:val="00083BEF"/>
    <w:rsid w:val="00084D14"/>
    <w:rsid w:val="00085954"/>
    <w:rsid w:val="00085CF2"/>
    <w:rsid w:val="00085F60"/>
    <w:rsid w:val="00086846"/>
    <w:rsid w:val="00086F67"/>
    <w:rsid w:val="000872BE"/>
    <w:rsid w:val="00087FF5"/>
    <w:rsid w:val="000928AB"/>
    <w:rsid w:val="00092F2E"/>
    <w:rsid w:val="0009351D"/>
    <w:rsid w:val="00094120"/>
    <w:rsid w:val="0009442E"/>
    <w:rsid w:val="000947BE"/>
    <w:rsid w:val="0009488F"/>
    <w:rsid w:val="00095CC0"/>
    <w:rsid w:val="00095D27"/>
    <w:rsid w:val="0009626D"/>
    <w:rsid w:val="0009663B"/>
    <w:rsid w:val="0009678E"/>
    <w:rsid w:val="000969E3"/>
    <w:rsid w:val="00096C7A"/>
    <w:rsid w:val="00097666"/>
    <w:rsid w:val="000A005D"/>
    <w:rsid w:val="000A0A35"/>
    <w:rsid w:val="000A0BF7"/>
    <w:rsid w:val="000A2407"/>
    <w:rsid w:val="000A2D02"/>
    <w:rsid w:val="000A3679"/>
    <w:rsid w:val="000A5E2F"/>
    <w:rsid w:val="000A642F"/>
    <w:rsid w:val="000A6B6C"/>
    <w:rsid w:val="000A77E7"/>
    <w:rsid w:val="000A7B81"/>
    <w:rsid w:val="000A7E9F"/>
    <w:rsid w:val="000B0353"/>
    <w:rsid w:val="000B03F3"/>
    <w:rsid w:val="000B09E3"/>
    <w:rsid w:val="000B0F1B"/>
    <w:rsid w:val="000B0FA4"/>
    <w:rsid w:val="000B219A"/>
    <w:rsid w:val="000B2362"/>
    <w:rsid w:val="000B2794"/>
    <w:rsid w:val="000B2B4D"/>
    <w:rsid w:val="000B3C65"/>
    <w:rsid w:val="000B5027"/>
    <w:rsid w:val="000B5C27"/>
    <w:rsid w:val="000B6080"/>
    <w:rsid w:val="000B67A6"/>
    <w:rsid w:val="000B7962"/>
    <w:rsid w:val="000B7CF6"/>
    <w:rsid w:val="000B7D88"/>
    <w:rsid w:val="000B7EE9"/>
    <w:rsid w:val="000C0564"/>
    <w:rsid w:val="000C1099"/>
    <w:rsid w:val="000C13C2"/>
    <w:rsid w:val="000C24CB"/>
    <w:rsid w:val="000C2F6A"/>
    <w:rsid w:val="000C34B6"/>
    <w:rsid w:val="000C3528"/>
    <w:rsid w:val="000C382E"/>
    <w:rsid w:val="000C39F0"/>
    <w:rsid w:val="000C4D19"/>
    <w:rsid w:val="000C523E"/>
    <w:rsid w:val="000C5EBE"/>
    <w:rsid w:val="000C6077"/>
    <w:rsid w:val="000C64E5"/>
    <w:rsid w:val="000C6601"/>
    <w:rsid w:val="000C6F15"/>
    <w:rsid w:val="000C735D"/>
    <w:rsid w:val="000C74E4"/>
    <w:rsid w:val="000D091B"/>
    <w:rsid w:val="000D0C00"/>
    <w:rsid w:val="000D1A7D"/>
    <w:rsid w:val="000D24AD"/>
    <w:rsid w:val="000D259E"/>
    <w:rsid w:val="000D25C0"/>
    <w:rsid w:val="000D2B25"/>
    <w:rsid w:val="000D3E54"/>
    <w:rsid w:val="000D4810"/>
    <w:rsid w:val="000D4D9A"/>
    <w:rsid w:val="000D52DA"/>
    <w:rsid w:val="000D5A2F"/>
    <w:rsid w:val="000D61BD"/>
    <w:rsid w:val="000D69E6"/>
    <w:rsid w:val="000D6A96"/>
    <w:rsid w:val="000D79F6"/>
    <w:rsid w:val="000E093C"/>
    <w:rsid w:val="000E0CE4"/>
    <w:rsid w:val="000E0F25"/>
    <w:rsid w:val="000E2871"/>
    <w:rsid w:val="000E2CE8"/>
    <w:rsid w:val="000E30D9"/>
    <w:rsid w:val="000E349C"/>
    <w:rsid w:val="000E4593"/>
    <w:rsid w:val="000E4C0E"/>
    <w:rsid w:val="000E4FD0"/>
    <w:rsid w:val="000E5306"/>
    <w:rsid w:val="000E635F"/>
    <w:rsid w:val="000E686B"/>
    <w:rsid w:val="000E7025"/>
    <w:rsid w:val="000E7153"/>
    <w:rsid w:val="000E78A1"/>
    <w:rsid w:val="000E7F79"/>
    <w:rsid w:val="000F118B"/>
    <w:rsid w:val="000F18D0"/>
    <w:rsid w:val="000F1D15"/>
    <w:rsid w:val="000F2962"/>
    <w:rsid w:val="000F3C12"/>
    <w:rsid w:val="000F4436"/>
    <w:rsid w:val="000F4528"/>
    <w:rsid w:val="000F4581"/>
    <w:rsid w:val="000F4DAD"/>
    <w:rsid w:val="000F528C"/>
    <w:rsid w:val="000F556B"/>
    <w:rsid w:val="000F587B"/>
    <w:rsid w:val="000F7585"/>
    <w:rsid w:val="00100498"/>
    <w:rsid w:val="00102A6A"/>
    <w:rsid w:val="00102F35"/>
    <w:rsid w:val="001032B1"/>
    <w:rsid w:val="0010344B"/>
    <w:rsid w:val="001037A5"/>
    <w:rsid w:val="001039EC"/>
    <w:rsid w:val="00103E00"/>
    <w:rsid w:val="00104120"/>
    <w:rsid w:val="00104369"/>
    <w:rsid w:val="00104957"/>
    <w:rsid w:val="00104B11"/>
    <w:rsid w:val="00104FA7"/>
    <w:rsid w:val="00105760"/>
    <w:rsid w:val="001059D3"/>
    <w:rsid w:val="00105A8A"/>
    <w:rsid w:val="00105CCB"/>
    <w:rsid w:val="00105E13"/>
    <w:rsid w:val="00105FE9"/>
    <w:rsid w:val="00106177"/>
    <w:rsid w:val="0010628A"/>
    <w:rsid w:val="00106305"/>
    <w:rsid w:val="0010650B"/>
    <w:rsid w:val="00106605"/>
    <w:rsid w:val="00106A0B"/>
    <w:rsid w:val="00106B4D"/>
    <w:rsid w:val="001071C8"/>
    <w:rsid w:val="00110427"/>
    <w:rsid w:val="001104E5"/>
    <w:rsid w:val="00110859"/>
    <w:rsid w:val="00110B17"/>
    <w:rsid w:val="0011140D"/>
    <w:rsid w:val="0011181F"/>
    <w:rsid w:val="001118A7"/>
    <w:rsid w:val="00111F86"/>
    <w:rsid w:val="00112027"/>
    <w:rsid w:val="0011248C"/>
    <w:rsid w:val="00112F29"/>
    <w:rsid w:val="00112FEA"/>
    <w:rsid w:val="00113FE7"/>
    <w:rsid w:val="001141DC"/>
    <w:rsid w:val="001148BD"/>
    <w:rsid w:val="00114D32"/>
    <w:rsid w:val="00114DE8"/>
    <w:rsid w:val="00114FC7"/>
    <w:rsid w:val="00115017"/>
    <w:rsid w:val="00115B8A"/>
    <w:rsid w:val="001162C9"/>
    <w:rsid w:val="001179FD"/>
    <w:rsid w:val="0012009A"/>
    <w:rsid w:val="001201CD"/>
    <w:rsid w:val="00120B12"/>
    <w:rsid w:val="00120CE5"/>
    <w:rsid w:val="001219DC"/>
    <w:rsid w:val="00121B59"/>
    <w:rsid w:val="001222BE"/>
    <w:rsid w:val="00122732"/>
    <w:rsid w:val="001227C4"/>
    <w:rsid w:val="001238D7"/>
    <w:rsid w:val="00124647"/>
    <w:rsid w:val="001246E8"/>
    <w:rsid w:val="0012529D"/>
    <w:rsid w:val="00125A31"/>
    <w:rsid w:val="00126D73"/>
    <w:rsid w:val="001274F5"/>
    <w:rsid w:val="00130327"/>
    <w:rsid w:val="00130726"/>
    <w:rsid w:val="00130F78"/>
    <w:rsid w:val="00130F9F"/>
    <w:rsid w:val="00131304"/>
    <w:rsid w:val="00131841"/>
    <w:rsid w:val="00131BA4"/>
    <w:rsid w:val="00131C57"/>
    <w:rsid w:val="00131DF3"/>
    <w:rsid w:val="00132BBB"/>
    <w:rsid w:val="00132E91"/>
    <w:rsid w:val="00132FF3"/>
    <w:rsid w:val="0013358C"/>
    <w:rsid w:val="00133626"/>
    <w:rsid w:val="001339F0"/>
    <w:rsid w:val="00133A15"/>
    <w:rsid w:val="00134A43"/>
    <w:rsid w:val="00134B0B"/>
    <w:rsid w:val="001356AB"/>
    <w:rsid w:val="0013574C"/>
    <w:rsid w:val="00136B3C"/>
    <w:rsid w:val="00136E8F"/>
    <w:rsid w:val="0013777C"/>
    <w:rsid w:val="0014038E"/>
    <w:rsid w:val="00140826"/>
    <w:rsid w:val="001410A3"/>
    <w:rsid w:val="00141223"/>
    <w:rsid w:val="00143034"/>
    <w:rsid w:val="00143320"/>
    <w:rsid w:val="00144296"/>
    <w:rsid w:val="001442A1"/>
    <w:rsid w:val="001448A7"/>
    <w:rsid w:val="00145050"/>
    <w:rsid w:val="00145161"/>
    <w:rsid w:val="00145852"/>
    <w:rsid w:val="00146014"/>
    <w:rsid w:val="0014645F"/>
    <w:rsid w:val="00146C78"/>
    <w:rsid w:val="00147532"/>
    <w:rsid w:val="001475FF"/>
    <w:rsid w:val="001508B1"/>
    <w:rsid w:val="001508F2"/>
    <w:rsid w:val="00150C88"/>
    <w:rsid w:val="0015138D"/>
    <w:rsid w:val="001515E1"/>
    <w:rsid w:val="0015211D"/>
    <w:rsid w:val="00152646"/>
    <w:rsid w:val="0015271B"/>
    <w:rsid w:val="00152807"/>
    <w:rsid w:val="00152F1E"/>
    <w:rsid w:val="00152F2E"/>
    <w:rsid w:val="001534AC"/>
    <w:rsid w:val="00154676"/>
    <w:rsid w:val="00154896"/>
    <w:rsid w:val="001548F2"/>
    <w:rsid w:val="00154CE6"/>
    <w:rsid w:val="001552EC"/>
    <w:rsid w:val="00155680"/>
    <w:rsid w:val="00155E6D"/>
    <w:rsid w:val="00156D23"/>
    <w:rsid w:val="0015730A"/>
    <w:rsid w:val="00157938"/>
    <w:rsid w:val="00157A29"/>
    <w:rsid w:val="001608F2"/>
    <w:rsid w:val="00160B66"/>
    <w:rsid w:val="00161114"/>
    <w:rsid w:val="001619EA"/>
    <w:rsid w:val="00161C38"/>
    <w:rsid w:val="00161D24"/>
    <w:rsid w:val="00162878"/>
    <w:rsid w:val="00162DCB"/>
    <w:rsid w:val="00162F82"/>
    <w:rsid w:val="001638C2"/>
    <w:rsid w:val="00164417"/>
    <w:rsid w:val="00164A70"/>
    <w:rsid w:val="00164BE4"/>
    <w:rsid w:val="001653EF"/>
    <w:rsid w:val="0016594E"/>
    <w:rsid w:val="00165D79"/>
    <w:rsid w:val="001673EA"/>
    <w:rsid w:val="0016752B"/>
    <w:rsid w:val="00167D43"/>
    <w:rsid w:val="00171317"/>
    <w:rsid w:val="001716C5"/>
    <w:rsid w:val="0017210A"/>
    <w:rsid w:val="0017229B"/>
    <w:rsid w:val="001727FF"/>
    <w:rsid w:val="00172B59"/>
    <w:rsid w:val="001733F5"/>
    <w:rsid w:val="00173E24"/>
    <w:rsid w:val="001742A5"/>
    <w:rsid w:val="001742CD"/>
    <w:rsid w:val="00174D0C"/>
    <w:rsid w:val="00175231"/>
    <w:rsid w:val="00175B16"/>
    <w:rsid w:val="00175FE8"/>
    <w:rsid w:val="00176544"/>
    <w:rsid w:val="00176B17"/>
    <w:rsid w:val="00177761"/>
    <w:rsid w:val="00177C02"/>
    <w:rsid w:val="0018024D"/>
    <w:rsid w:val="001808A8"/>
    <w:rsid w:val="00180A83"/>
    <w:rsid w:val="001814CF"/>
    <w:rsid w:val="0018168C"/>
    <w:rsid w:val="0018186E"/>
    <w:rsid w:val="00182135"/>
    <w:rsid w:val="0018289F"/>
    <w:rsid w:val="00182F5C"/>
    <w:rsid w:val="00183C51"/>
    <w:rsid w:val="00183E13"/>
    <w:rsid w:val="00184B50"/>
    <w:rsid w:val="00184C2A"/>
    <w:rsid w:val="00184D6A"/>
    <w:rsid w:val="001850A7"/>
    <w:rsid w:val="001855A2"/>
    <w:rsid w:val="0018565E"/>
    <w:rsid w:val="00185847"/>
    <w:rsid w:val="001858EF"/>
    <w:rsid w:val="00185D6F"/>
    <w:rsid w:val="00187308"/>
    <w:rsid w:val="00187471"/>
    <w:rsid w:val="00187801"/>
    <w:rsid w:val="00190F94"/>
    <w:rsid w:val="00192720"/>
    <w:rsid w:val="00192B39"/>
    <w:rsid w:val="00192EA9"/>
    <w:rsid w:val="00193327"/>
    <w:rsid w:val="00193731"/>
    <w:rsid w:val="001938A1"/>
    <w:rsid w:val="00193EC6"/>
    <w:rsid w:val="00194036"/>
    <w:rsid w:val="001950E0"/>
    <w:rsid w:val="001954DA"/>
    <w:rsid w:val="00195A74"/>
    <w:rsid w:val="00195D26"/>
    <w:rsid w:val="00197D97"/>
    <w:rsid w:val="00197E2E"/>
    <w:rsid w:val="001A0257"/>
    <w:rsid w:val="001A0A02"/>
    <w:rsid w:val="001A0A78"/>
    <w:rsid w:val="001A116A"/>
    <w:rsid w:val="001A15F5"/>
    <w:rsid w:val="001A171D"/>
    <w:rsid w:val="001A253A"/>
    <w:rsid w:val="001A2D4E"/>
    <w:rsid w:val="001A2F61"/>
    <w:rsid w:val="001A390A"/>
    <w:rsid w:val="001A3C89"/>
    <w:rsid w:val="001A3D1A"/>
    <w:rsid w:val="001A5721"/>
    <w:rsid w:val="001A60F3"/>
    <w:rsid w:val="001A6363"/>
    <w:rsid w:val="001A65E1"/>
    <w:rsid w:val="001A65F3"/>
    <w:rsid w:val="001A6766"/>
    <w:rsid w:val="001A689F"/>
    <w:rsid w:val="001A70DC"/>
    <w:rsid w:val="001A79D0"/>
    <w:rsid w:val="001A7EFD"/>
    <w:rsid w:val="001B0349"/>
    <w:rsid w:val="001B03B1"/>
    <w:rsid w:val="001B0D7E"/>
    <w:rsid w:val="001B0F55"/>
    <w:rsid w:val="001B176D"/>
    <w:rsid w:val="001B1863"/>
    <w:rsid w:val="001B253D"/>
    <w:rsid w:val="001B26A3"/>
    <w:rsid w:val="001B2E5A"/>
    <w:rsid w:val="001B2F11"/>
    <w:rsid w:val="001B3443"/>
    <w:rsid w:val="001B3CD1"/>
    <w:rsid w:val="001B524D"/>
    <w:rsid w:val="001B6773"/>
    <w:rsid w:val="001B682F"/>
    <w:rsid w:val="001B79EB"/>
    <w:rsid w:val="001C069D"/>
    <w:rsid w:val="001C0BB6"/>
    <w:rsid w:val="001C1129"/>
    <w:rsid w:val="001C1A02"/>
    <w:rsid w:val="001C2224"/>
    <w:rsid w:val="001C24B9"/>
    <w:rsid w:val="001C2CDB"/>
    <w:rsid w:val="001C343E"/>
    <w:rsid w:val="001C383D"/>
    <w:rsid w:val="001C3DE0"/>
    <w:rsid w:val="001C3E50"/>
    <w:rsid w:val="001C40CE"/>
    <w:rsid w:val="001C53AD"/>
    <w:rsid w:val="001C5452"/>
    <w:rsid w:val="001C555B"/>
    <w:rsid w:val="001C5E64"/>
    <w:rsid w:val="001C60F6"/>
    <w:rsid w:val="001C6109"/>
    <w:rsid w:val="001C6FD6"/>
    <w:rsid w:val="001C7734"/>
    <w:rsid w:val="001D033C"/>
    <w:rsid w:val="001D0520"/>
    <w:rsid w:val="001D05AD"/>
    <w:rsid w:val="001D0A6E"/>
    <w:rsid w:val="001D15B1"/>
    <w:rsid w:val="001D16A8"/>
    <w:rsid w:val="001D1D76"/>
    <w:rsid w:val="001D22C0"/>
    <w:rsid w:val="001D2A8D"/>
    <w:rsid w:val="001D328C"/>
    <w:rsid w:val="001D3F6A"/>
    <w:rsid w:val="001D498A"/>
    <w:rsid w:val="001D51C3"/>
    <w:rsid w:val="001D577A"/>
    <w:rsid w:val="001D5B63"/>
    <w:rsid w:val="001D66F5"/>
    <w:rsid w:val="001D6A81"/>
    <w:rsid w:val="001D6BB6"/>
    <w:rsid w:val="001D6D09"/>
    <w:rsid w:val="001D7B74"/>
    <w:rsid w:val="001E0E5C"/>
    <w:rsid w:val="001E2399"/>
    <w:rsid w:val="001E254A"/>
    <w:rsid w:val="001E2E12"/>
    <w:rsid w:val="001E2F7B"/>
    <w:rsid w:val="001E3455"/>
    <w:rsid w:val="001E353F"/>
    <w:rsid w:val="001E3657"/>
    <w:rsid w:val="001E3718"/>
    <w:rsid w:val="001E4914"/>
    <w:rsid w:val="001E4D03"/>
    <w:rsid w:val="001E5535"/>
    <w:rsid w:val="001E5A22"/>
    <w:rsid w:val="001E5D4C"/>
    <w:rsid w:val="001E6E10"/>
    <w:rsid w:val="001E73F9"/>
    <w:rsid w:val="001E754D"/>
    <w:rsid w:val="001E7838"/>
    <w:rsid w:val="001E7B5B"/>
    <w:rsid w:val="001E7EC9"/>
    <w:rsid w:val="001F141D"/>
    <w:rsid w:val="001F1B79"/>
    <w:rsid w:val="001F1F08"/>
    <w:rsid w:val="001F2198"/>
    <w:rsid w:val="001F21DD"/>
    <w:rsid w:val="001F24BC"/>
    <w:rsid w:val="001F2A7C"/>
    <w:rsid w:val="001F2B71"/>
    <w:rsid w:val="001F3635"/>
    <w:rsid w:val="001F3D59"/>
    <w:rsid w:val="001F3F5A"/>
    <w:rsid w:val="001F4507"/>
    <w:rsid w:val="001F4F24"/>
    <w:rsid w:val="001F59BE"/>
    <w:rsid w:val="001F5B00"/>
    <w:rsid w:val="001F5DD8"/>
    <w:rsid w:val="001F62A4"/>
    <w:rsid w:val="001F66CC"/>
    <w:rsid w:val="001F6D1E"/>
    <w:rsid w:val="001F7421"/>
    <w:rsid w:val="001F74E0"/>
    <w:rsid w:val="001F7813"/>
    <w:rsid w:val="001F7B6C"/>
    <w:rsid w:val="001F7FC4"/>
    <w:rsid w:val="0020008E"/>
    <w:rsid w:val="002001B8"/>
    <w:rsid w:val="00200C76"/>
    <w:rsid w:val="00200D91"/>
    <w:rsid w:val="0020124C"/>
    <w:rsid w:val="002023D4"/>
    <w:rsid w:val="00202A9C"/>
    <w:rsid w:val="00203089"/>
    <w:rsid w:val="002035F3"/>
    <w:rsid w:val="0020501F"/>
    <w:rsid w:val="002050DD"/>
    <w:rsid w:val="0020521A"/>
    <w:rsid w:val="00206443"/>
    <w:rsid w:val="00206729"/>
    <w:rsid w:val="00206B6C"/>
    <w:rsid w:val="0020785E"/>
    <w:rsid w:val="00211CD4"/>
    <w:rsid w:val="00211F73"/>
    <w:rsid w:val="0021247F"/>
    <w:rsid w:val="00212F3D"/>
    <w:rsid w:val="00213611"/>
    <w:rsid w:val="00213A6F"/>
    <w:rsid w:val="00213C65"/>
    <w:rsid w:val="002144F0"/>
    <w:rsid w:val="00214D0D"/>
    <w:rsid w:val="002157AD"/>
    <w:rsid w:val="00215AA3"/>
    <w:rsid w:val="00216083"/>
    <w:rsid w:val="00216CFD"/>
    <w:rsid w:val="00217367"/>
    <w:rsid w:val="00217949"/>
    <w:rsid w:val="00220455"/>
    <w:rsid w:val="0022073A"/>
    <w:rsid w:val="002209A1"/>
    <w:rsid w:val="00220E23"/>
    <w:rsid w:val="0022145A"/>
    <w:rsid w:val="0022163A"/>
    <w:rsid w:val="0022271F"/>
    <w:rsid w:val="00222AC2"/>
    <w:rsid w:val="00223712"/>
    <w:rsid w:val="00223B01"/>
    <w:rsid w:val="00223C19"/>
    <w:rsid w:val="00223D65"/>
    <w:rsid w:val="0022433D"/>
    <w:rsid w:val="002247CB"/>
    <w:rsid w:val="00224B86"/>
    <w:rsid w:val="002253AA"/>
    <w:rsid w:val="002254D9"/>
    <w:rsid w:val="00225A77"/>
    <w:rsid w:val="0022640B"/>
    <w:rsid w:val="002273E6"/>
    <w:rsid w:val="00227AEB"/>
    <w:rsid w:val="00230248"/>
    <w:rsid w:val="002307EA"/>
    <w:rsid w:val="00230E95"/>
    <w:rsid w:val="00231507"/>
    <w:rsid w:val="002315B3"/>
    <w:rsid w:val="0023179E"/>
    <w:rsid w:val="00231B46"/>
    <w:rsid w:val="00231D09"/>
    <w:rsid w:val="00232018"/>
    <w:rsid w:val="002324B6"/>
    <w:rsid w:val="00233402"/>
    <w:rsid w:val="002337A5"/>
    <w:rsid w:val="00233FD1"/>
    <w:rsid w:val="002343CA"/>
    <w:rsid w:val="00235329"/>
    <w:rsid w:val="002364C4"/>
    <w:rsid w:val="0023664E"/>
    <w:rsid w:val="00237096"/>
    <w:rsid w:val="002370B5"/>
    <w:rsid w:val="00237667"/>
    <w:rsid w:val="002400AD"/>
    <w:rsid w:val="00240856"/>
    <w:rsid w:val="002409C5"/>
    <w:rsid w:val="00240A81"/>
    <w:rsid w:val="0024199C"/>
    <w:rsid w:val="0024201A"/>
    <w:rsid w:val="00242070"/>
    <w:rsid w:val="0024242E"/>
    <w:rsid w:val="002425D3"/>
    <w:rsid w:val="002429F2"/>
    <w:rsid w:val="002449F0"/>
    <w:rsid w:val="00244AC9"/>
    <w:rsid w:val="00245D8F"/>
    <w:rsid w:val="00247669"/>
    <w:rsid w:val="002478D6"/>
    <w:rsid w:val="00247AD2"/>
    <w:rsid w:val="00247E26"/>
    <w:rsid w:val="0025152D"/>
    <w:rsid w:val="0025284F"/>
    <w:rsid w:val="00252BCF"/>
    <w:rsid w:val="00253150"/>
    <w:rsid w:val="002533E0"/>
    <w:rsid w:val="00254C4A"/>
    <w:rsid w:val="002551CE"/>
    <w:rsid w:val="00255769"/>
    <w:rsid w:val="00255F92"/>
    <w:rsid w:val="0025797A"/>
    <w:rsid w:val="002603BB"/>
    <w:rsid w:val="00260F50"/>
    <w:rsid w:val="0026141E"/>
    <w:rsid w:val="00261706"/>
    <w:rsid w:val="00262224"/>
    <w:rsid w:val="0026246D"/>
    <w:rsid w:val="00262886"/>
    <w:rsid w:val="00262889"/>
    <w:rsid w:val="00262F5D"/>
    <w:rsid w:val="00264407"/>
    <w:rsid w:val="00264649"/>
    <w:rsid w:val="00265738"/>
    <w:rsid w:val="00265CED"/>
    <w:rsid w:val="002668FB"/>
    <w:rsid w:val="00266FD0"/>
    <w:rsid w:val="00267573"/>
    <w:rsid w:val="002677D7"/>
    <w:rsid w:val="00267A3C"/>
    <w:rsid w:val="00267E28"/>
    <w:rsid w:val="00271280"/>
    <w:rsid w:val="00271CC9"/>
    <w:rsid w:val="00272073"/>
    <w:rsid w:val="002723AE"/>
    <w:rsid w:val="0027268F"/>
    <w:rsid w:val="00272773"/>
    <w:rsid w:val="00272F16"/>
    <w:rsid w:val="00272FBF"/>
    <w:rsid w:val="00273693"/>
    <w:rsid w:val="002737E8"/>
    <w:rsid w:val="0027443A"/>
    <w:rsid w:val="00274AC9"/>
    <w:rsid w:val="00274DB6"/>
    <w:rsid w:val="00275840"/>
    <w:rsid w:val="00275988"/>
    <w:rsid w:val="00275CE1"/>
    <w:rsid w:val="0027646B"/>
    <w:rsid w:val="00276EF3"/>
    <w:rsid w:val="00277604"/>
    <w:rsid w:val="002778D0"/>
    <w:rsid w:val="00277980"/>
    <w:rsid w:val="00277D03"/>
    <w:rsid w:val="0028078B"/>
    <w:rsid w:val="002810F8"/>
    <w:rsid w:val="00281625"/>
    <w:rsid w:val="0028219E"/>
    <w:rsid w:val="00282540"/>
    <w:rsid w:val="00282ADF"/>
    <w:rsid w:val="00283129"/>
    <w:rsid w:val="00283D00"/>
    <w:rsid w:val="00283E2C"/>
    <w:rsid w:val="002841B9"/>
    <w:rsid w:val="00284385"/>
    <w:rsid w:val="00284EC7"/>
    <w:rsid w:val="0028527C"/>
    <w:rsid w:val="00286E30"/>
    <w:rsid w:val="00287E98"/>
    <w:rsid w:val="00290891"/>
    <w:rsid w:val="002909BF"/>
    <w:rsid w:val="00290D3A"/>
    <w:rsid w:val="002913DC"/>
    <w:rsid w:val="00292BE6"/>
    <w:rsid w:val="00292C0D"/>
    <w:rsid w:val="00293988"/>
    <w:rsid w:val="00293AAE"/>
    <w:rsid w:val="00293B5F"/>
    <w:rsid w:val="0029420F"/>
    <w:rsid w:val="002949B6"/>
    <w:rsid w:val="00294DE3"/>
    <w:rsid w:val="00295425"/>
    <w:rsid w:val="002954CC"/>
    <w:rsid w:val="00296581"/>
    <w:rsid w:val="00296C03"/>
    <w:rsid w:val="00296D13"/>
    <w:rsid w:val="00296E15"/>
    <w:rsid w:val="00297E9B"/>
    <w:rsid w:val="002A066E"/>
    <w:rsid w:val="002A1092"/>
    <w:rsid w:val="002A19A4"/>
    <w:rsid w:val="002A1BDC"/>
    <w:rsid w:val="002A1E57"/>
    <w:rsid w:val="002A1F52"/>
    <w:rsid w:val="002A2697"/>
    <w:rsid w:val="002A33F7"/>
    <w:rsid w:val="002A390F"/>
    <w:rsid w:val="002A3E8A"/>
    <w:rsid w:val="002A4305"/>
    <w:rsid w:val="002A445E"/>
    <w:rsid w:val="002A46EF"/>
    <w:rsid w:val="002A519E"/>
    <w:rsid w:val="002A521A"/>
    <w:rsid w:val="002A5683"/>
    <w:rsid w:val="002A5BDE"/>
    <w:rsid w:val="002A612B"/>
    <w:rsid w:val="002A63C6"/>
    <w:rsid w:val="002A67AE"/>
    <w:rsid w:val="002A724E"/>
    <w:rsid w:val="002A7676"/>
    <w:rsid w:val="002A7AEC"/>
    <w:rsid w:val="002A7D11"/>
    <w:rsid w:val="002A7E80"/>
    <w:rsid w:val="002B041D"/>
    <w:rsid w:val="002B2FBB"/>
    <w:rsid w:val="002B30B6"/>
    <w:rsid w:val="002B342B"/>
    <w:rsid w:val="002B34FC"/>
    <w:rsid w:val="002B3867"/>
    <w:rsid w:val="002B4837"/>
    <w:rsid w:val="002B4937"/>
    <w:rsid w:val="002B4C1D"/>
    <w:rsid w:val="002B5C57"/>
    <w:rsid w:val="002B6BB1"/>
    <w:rsid w:val="002B7686"/>
    <w:rsid w:val="002C1C81"/>
    <w:rsid w:val="002C4C33"/>
    <w:rsid w:val="002C504C"/>
    <w:rsid w:val="002C539C"/>
    <w:rsid w:val="002C56B7"/>
    <w:rsid w:val="002C6D15"/>
    <w:rsid w:val="002C73B5"/>
    <w:rsid w:val="002D1700"/>
    <w:rsid w:val="002D20BD"/>
    <w:rsid w:val="002D23C7"/>
    <w:rsid w:val="002D26B9"/>
    <w:rsid w:val="002D2A46"/>
    <w:rsid w:val="002D35B3"/>
    <w:rsid w:val="002D599A"/>
    <w:rsid w:val="002D5AA7"/>
    <w:rsid w:val="002D5CE6"/>
    <w:rsid w:val="002D5ED2"/>
    <w:rsid w:val="002D63BF"/>
    <w:rsid w:val="002D63F6"/>
    <w:rsid w:val="002D6459"/>
    <w:rsid w:val="002D6B9B"/>
    <w:rsid w:val="002D7455"/>
    <w:rsid w:val="002D776C"/>
    <w:rsid w:val="002D79BD"/>
    <w:rsid w:val="002D7AB9"/>
    <w:rsid w:val="002E0235"/>
    <w:rsid w:val="002E0670"/>
    <w:rsid w:val="002E069A"/>
    <w:rsid w:val="002E06B0"/>
    <w:rsid w:val="002E0F9B"/>
    <w:rsid w:val="002E1882"/>
    <w:rsid w:val="002E1B2E"/>
    <w:rsid w:val="002E23F7"/>
    <w:rsid w:val="002E361A"/>
    <w:rsid w:val="002E520C"/>
    <w:rsid w:val="002E6918"/>
    <w:rsid w:val="002E6B16"/>
    <w:rsid w:val="002E6CB8"/>
    <w:rsid w:val="002E6F3F"/>
    <w:rsid w:val="002E787D"/>
    <w:rsid w:val="002E78A2"/>
    <w:rsid w:val="002E7FC8"/>
    <w:rsid w:val="002F0051"/>
    <w:rsid w:val="002F0667"/>
    <w:rsid w:val="002F096E"/>
    <w:rsid w:val="002F18DD"/>
    <w:rsid w:val="002F19C4"/>
    <w:rsid w:val="002F1B1C"/>
    <w:rsid w:val="002F1C8C"/>
    <w:rsid w:val="002F1E47"/>
    <w:rsid w:val="002F2188"/>
    <w:rsid w:val="002F28D1"/>
    <w:rsid w:val="002F294E"/>
    <w:rsid w:val="002F2B29"/>
    <w:rsid w:val="002F3178"/>
    <w:rsid w:val="002F39D5"/>
    <w:rsid w:val="002F5A25"/>
    <w:rsid w:val="002F5F65"/>
    <w:rsid w:val="002F6998"/>
    <w:rsid w:val="002F6A89"/>
    <w:rsid w:val="002F70A5"/>
    <w:rsid w:val="002F7328"/>
    <w:rsid w:val="002F7815"/>
    <w:rsid w:val="002F7A20"/>
    <w:rsid w:val="00300F75"/>
    <w:rsid w:val="003015E6"/>
    <w:rsid w:val="0030337C"/>
    <w:rsid w:val="00303AA6"/>
    <w:rsid w:val="00303EE0"/>
    <w:rsid w:val="003047AD"/>
    <w:rsid w:val="00304FF8"/>
    <w:rsid w:val="00305324"/>
    <w:rsid w:val="003053D9"/>
    <w:rsid w:val="003070D0"/>
    <w:rsid w:val="0030717D"/>
    <w:rsid w:val="00307CC4"/>
    <w:rsid w:val="00307E55"/>
    <w:rsid w:val="00310010"/>
    <w:rsid w:val="003108FF"/>
    <w:rsid w:val="00310C8C"/>
    <w:rsid w:val="003113E4"/>
    <w:rsid w:val="0031141A"/>
    <w:rsid w:val="00311A5F"/>
    <w:rsid w:val="00311A7D"/>
    <w:rsid w:val="00312D91"/>
    <w:rsid w:val="00313519"/>
    <w:rsid w:val="003137F4"/>
    <w:rsid w:val="00320298"/>
    <w:rsid w:val="003202D3"/>
    <w:rsid w:val="00321A82"/>
    <w:rsid w:val="003220B7"/>
    <w:rsid w:val="00322236"/>
    <w:rsid w:val="003223A7"/>
    <w:rsid w:val="00323135"/>
    <w:rsid w:val="00323375"/>
    <w:rsid w:val="00323FC6"/>
    <w:rsid w:val="00324E87"/>
    <w:rsid w:val="003252F9"/>
    <w:rsid w:val="00326B5F"/>
    <w:rsid w:val="00326C47"/>
    <w:rsid w:val="003277F6"/>
    <w:rsid w:val="00327DC2"/>
    <w:rsid w:val="00330C2D"/>
    <w:rsid w:val="003322A2"/>
    <w:rsid w:val="00333A56"/>
    <w:rsid w:val="00334119"/>
    <w:rsid w:val="00334D21"/>
    <w:rsid w:val="0033574A"/>
    <w:rsid w:val="00335794"/>
    <w:rsid w:val="00335EBA"/>
    <w:rsid w:val="003367F7"/>
    <w:rsid w:val="00337613"/>
    <w:rsid w:val="0033768D"/>
    <w:rsid w:val="00337F6A"/>
    <w:rsid w:val="003400E5"/>
    <w:rsid w:val="003418B1"/>
    <w:rsid w:val="00341A65"/>
    <w:rsid w:val="003421EC"/>
    <w:rsid w:val="00342554"/>
    <w:rsid w:val="00342584"/>
    <w:rsid w:val="003429F3"/>
    <w:rsid w:val="00343A10"/>
    <w:rsid w:val="003451A2"/>
    <w:rsid w:val="00345279"/>
    <w:rsid w:val="00346249"/>
    <w:rsid w:val="00346298"/>
    <w:rsid w:val="0034731D"/>
    <w:rsid w:val="00347745"/>
    <w:rsid w:val="0034793A"/>
    <w:rsid w:val="00347F20"/>
    <w:rsid w:val="003518FC"/>
    <w:rsid w:val="003519B0"/>
    <w:rsid w:val="00351BA6"/>
    <w:rsid w:val="003520DA"/>
    <w:rsid w:val="00352DB1"/>
    <w:rsid w:val="003531B5"/>
    <w:rsid w:val="0035437C"/>
    <w:rsid w:val="0035459F"/>
    <w:rsid w:val="00354C00"/>
    <w:rsid w:val="00355CA8"/>
    <w:rsid w:val="003560DD"/>
    <w:rsid w:val="0035661A"/>
    <w:rsid w:val="0035669D"/>
    <w:rsid w:val="00356EC8"/>
    <w:rsid w:val="003570B3"/>
    <w:rsid w:val="00357E4B"/>
    <w:rsid w:val="0036030C"/>
    <w:rsid w:val="00360649"/>
    <w:rsid w:val="00360872"/>
    <w:rsid w:val="0036089A"/>
    <w:rsid w:val="00360A3B"/>
    <w:rsid w:val="00362400"/>
    <w:rsid w:val="00362ACB"/>
    <w:rsid w:val="003639A3"/>
    <w:rsid w:val="00364465"/>
    <w:rsid w:val="00364541"/>
    <w:rsid w:val="00364A49"/>
    <w:rsid w:val="00366EE1"/>
    <w:rsid w:val="00366FDF"/>
    <w:rsid w:val="003676CE"/>
    <w:rsid w:val="00367E17"/>
    <w:rsid w:val="003705CB"/>
    <w:rsid w:val="003707A0"/>
    <w:rsid w:val="00370B40"/>
    <w:rsid w:val="00371FC2"/>
    <w:rsid w:val="0037264A"/>
    <w:rsid w:val="00372C52"/>
    <w:rsid w:val="00373011"/>
    <w:rsid w:val="003733A5"/>
    <w:rsid w:val="00373604"/>
    <w:rsid w:val="0037386C"/>
    <w:rsid w:val="003746D0"/>
    <w:rsid w:val="003746ED"/>
    <w:rsid w:val="0037546C"/>
    <w:rsid w:val="003755F2"/>
    <w:rsid w:val="00376600"/>
    <w:rsid w:val="00376750"/>
    <w:rsid w:val="00376975"/>
    <w:rsid w:val="00376B21"/>
    <w:rsid w:val="0037759C"/>
    <w:rsid w:val="00377B33"/>
    <w:rsid w:val="00377EC1"/>
    <w:rsid w:val="00380773"/>
    <w:rsid w:val="00380824"/>
    <w:rsid w:val="00380C51"/>
    <w:rsid w:val="003811AB"/>
    <w:rsid w:val="00381E47"/>
    <w:rsid w:val="003821E4"/>
    <w:rsid w:val="00382317"/>
    <w:rsid w:val="00382895"/>
    <w:rsid w:val="00383F8A"/>
    <w:rsid w:val="003842F9"/>
    <w:rsid w:val="00384364"/>
    <w:rsid w:val="00385184"/>
    <w:rsid w:val="00385762"/>
    <w:rsid w:val="00385EBD"/>
    <w:rsid w:val="0038693F"/>
    <w:rsid w:val="00386C5A"/>
    <w:rsid w:val="00386F34"/>
    <w:rsid w:val="00387F01"/>
    <w:rsid w:val="003910CE"/>
    <w:rsid w:val="00391559"/>
    <w:rsid w:val="00392771"/>
    <w:rsid w:val="00392A77"/>
    <w:rsid w:val="0039340D"/>
    <w:rsid w:val="003939D0"/>
    <w:rsid w:val="00393AFE"/>
    <w:rsid w:val="00394048"/>
    <w:rsid w:val="0039445E"/>
    <w:rsid w:val="00394CBF"/>
    <w:rsid w:val="00395661"/>
    <w:rsid w:val="003959F3"/>
    <w:rsid w:val="00396688"/>
    <w:rsid w:val="00396798"/>
    <w:rsid w:val="00396809"/>
    <w:rsid w:val="00396DB0"/>
    <w:rsid w:val="00396EC6"/>
    <w:rsid w:val="003974AA"/>
    <w:rsid w:val="00397E56"/>
    <w:rsid w:val="003A0A47"/>
    <w:rsid w:val="003A0BFB"/>
    <w:rsid w:val="003A0FD6"/>
    <w:rsid w:val="003A1C10"/>
    <w:rsid w:val="003A1DCC"/>
    <w:rsid w:val="003A2251"/>
    <w:rsid w:val="003A3C79"/>
    <w:rsid w:val="003A3CED"/>
    <w:rsid w:val="003A45B6"/>
    <w:rsid w:val="003A4609"/>
    <w:rsid w:val="003A498D"/>
    <w:rsid w:val="003A50D2"/>
    <w:rsid w:val="003A6A03"/>
    <w:rsid w:val="003A7241"/>
    <w:rsid w:val="003A7D3B"/>
    <w:rsid w:val="003B0100"/>
    <w:rsid w:val="003B01EF"/>
    <w:rsid w:val="003B0215"/>
    <w:rsid w:val="003B04B7"/>
    <w:rsid w:val="003B103F"/>
    <w:rsid w:val="003B18CD"/>
    <w:rsid w:val="003B2888"/>
    <w:rsid w:val="003B2A33"/>
    <w:rsid w:val="003B2E35"/>
    <w:rsid w:val="003B510B"/>
    <w:rsid w:val="003B5B84"/>
    <w:rsid w:val="003B6065"/>
    <w:rsid w:val="003B62BC"/>
    <w:rsid w:val="003B76C0"/>
    <w:rsid w:val="003B7B4C"/>
    <w:rsid w:val="003B7B70"/>
    <w:rsid w:val="003C0C44"/>
    <w:rsid w:val="003C0CB9"/>
    <w:rsid w:val="003C10DE"/>
    <w:rsid w:val="003C15D3"/>
    <w:rsid w:val="003C17B9"/>
    <w:rsid w:val="003C1A95"/>
    <w:rsid w:val="003C28C9"/>
    <w:rsid w:val="003C2A0C"/>
    <w:rsid w:val="003C3839"/>
    <w:rsid w:val="003C3F51"/>
    <w:rsid w:val="003C40E3"/>
    <w:rsid w:val="003C47DA"/>
    <w:rsid w:val="003C4967"/>
    <w:rsid w:val="003C4BFC"/>
    <w:rsid w:val="003C4E06"/>
    <w:rsid w:val="003C53A3"/>
    <w:rsid w:val="003C5CEC"/>
    <w:rsid w:val="003C6557"/>
    <w:rsid w:val="003C65AA"/>
    <w:rsid w:val="003C68B3"/>
    <w:rsid w:val="003C6A13"/>
    <w:rsid w:val="003C6CA0"/>
    <w:rsid w:val="003C7021"/>
    <w:rsid w:val="003C779C"/>
    <w:rsid w:val="003C7929"/>
    <w:rsid w:val="003C7EFC"/>
    <w:rsid w:val="003D091F"/>
    <w:rsid w:val="003D1372"/>
    <w:rsid w:val="003D1FC1"/>
    <w:rsid w:val="003D2CEE"/>
    <w:rsid w:val="003D2CFA"/>
    <w:rsid w:val="003D4EA3"/>
    <w:rsid w:val="003D4FC7"/>
    <w:rsid w:val="003D5BCD"/>
    <w:rsid w:val="003D65A9"/>
    <w:rsid w:val="003D6CA0"/>
    <w:rsid w:val="003E0958"/>
    <w:rsid w:val="003E174A"/>
    <w:rsid w:val="003E1979"/>
    <w:rsid w:val="003E1AA7"/>
    <w:rsid w:val="003E1FC5"/>
    <w:rsid w:val="003E2628"/>
    <w:rsid w:val="003E2CA8"/>
    <w:rsid w:val="003E2CF2"/>
    <w:rsid w:val="003E34BC"/>
    <w:rsid w:val="003E3626"/>
    <w:rsid w:val="003E3D6E"/>
    <w:rsid w:val="003E465F"/>
    <w:rsid w:val="003E47E1"/>
    <w:rsid w:val="003E4EFA"/>
    <w:rsid w:val="003E6D7E"/>
    <w:rsid w:val="003E7535"/>
    <w:rsid w:val="003F0E23"/>
    <w:rsid w:val="003F1661"/>
    <w:rsid w:val="003F1F8A"/>
    <w:rsid w:val="003F35D1"/>
    <w:rsid w:val="003F4248"/>
    <w:rsid w:val="003F4D47"/>
    <w:rsid w:val="003F5231"/>
    <w:rsid w:val="003F622E"/>
    <w:rsid w:val="003F7256"/>
    <w:rsid w:val="003F74B5"/>
    <w:rsid w:val="00400EB1"/>
    <w:rsid w:val="00401F9D"/>
    <w:rsid w:val="0040234A"/>
    <w:rsid w:val="00402682"/>
    <w:rsid w:val="00402C2A"/>
    <w:rsid w:val="00404937"/>
    <w:rsid w:val="00404D23"/>
    <w:rsid w:val="004053A9"/>
    <w:rsid w:val="004055B1"/>
    <w:rsid w:val="00405F6B"/>
    <w:rsid w:val="00406338"/>
    <w:rsid w:val="00406A76"/>
    <w:rsid w:val="00407370"/>
    <w:rsid w:val="00407611"/>
    <w:rsid w:val="0041029E"/>
    <w:rsid w:val="004104DE"/>
    <w:rsid w:val="00410DBE"/>
    <w:rsid w:val="00412449"/>
    <w:rsid w:val="0041364F"/>
    <w:rsid w:val="004139A3"/>
    <w:rsid w:val="00414CF3"/>
    <w:rsid w:val="00414F22"/>
    <w:rsid w:val="00415A00"/>
    <w:rsid w:val="00415AC2"/>
    <w:rsid w:val="004166BD"/>
    <w:rsid w:val="00416866"/>
    <w:rsid w:val="00416CD9"/>
    <w:rsid w:val="00416EBF"/>
    <w:rsid w:val="0041709F"/>
    <w:rsid w:val="00417778"/>
    <w:rsid w:val="00417AB2"/>
    <w:rsid w:val="00420484"/>
    <w:rsid w:val="00421919"/>
    <w:rsid w:val="004234AE"/>
    <w:rsid w:val="00423B25"/>
    <w:rsid w:val="00423CCE"/>
    <w:rsid w:val="00423D2D"/>
    <w:rsid w:val="00424598"/>
    <w:rsid w:val="00424C37"/>
    <w:rsid w:val="00426793"/>
    <w:rsid w:val="00426B2C"/>
    <w:rsid w:val="0043006F"/>
    <w:rsid w:val="004301F5"/>
    <w:rsid w:val="004308C8"/>
    <w:rsid w:val="004310B9"/>
    <w:rsid w:val="004315D8"/>
    <w:rsid w:val="004317A7"/>
    <w:rsid w:val="004321AF"/>
    <w:rsid w:val="00432CFB"/>
    <w:rsid w:val="00432E61"/>
    <w:rsid w:val="00432FD8"/>
    <w:rsid w:val="00433785"/>
    <w:rsid w:val="00433865"/>
    <w:rsid w:val="0043403B"/>
    <w:rsid w:val="0043419F"/>
    <w:rsid w:val="00434D7C"/>
    <w:rsid w:val="00434DBE"/>
    <w:rsid w:val="00434E41"/>
    <w:rsid w:val="0043545C"/>
    <w:rsid w:val="00435658"/>
    <w:rsid w:val="00436651"/>
    <w:rsid w:val="004367EB"/>
    <w:rsid w:val="00436915"/>
    <w:rsid w:val="00436E3C"/>
    <w:rsid w:val="00437C74"/>
    <w:rsid w:val="00437E9A"/>
    <w:rsid w:val="004401C4"/>
    <w:rsid w:val="0044072B"/>
    <w:rsid w:val="00440E30"/>
    <w:rsid w:val="00441326"/>
    <w:rsid w:val="0044180E"/>
    <w:rsid w:val="00444904"/>
    <w:rsid w:val="00445A1D"/>
    <w:rsid w:val="00446813"/>
    <w:rsid w:val="00446AC8"/>
    <w:rsid w:val="00447241"/>
    <w:rsid w:val="00447AA0"/>
    <w:rsid w:val="004502BB"/>
    <w:rsid w:val="00450DC3"/>
    <w:rsid w:val="0045176F"/>
    <w:rsid w:val="00452634"/>
    <w:rsid w:val="00452845"/>
    <w:rsid w:val="004529A9"/>
    <w:rsid w:val="00453032"/>
    <w:rsid w:val="004559A9"/>
    <w:rsid w:val="00455B75"/>
    <w:rsid w:val="00455F76"/>
    <w:rsid w:val="00456607"/>
    <w:rsid w:val="004569B4"/>
    <w:rsid w:val="00456AFC"/>
    <w:rsid w:val="00456D1B"/>
    <w:rsid w:val="00457765"/>
    <w:rsid w:val="00457DD2"/>
    <w:rsid w:val="00460331"/>
    <w:rsid w:val="00461252"/>
    <w:rsid w:val="004612FB"/>
    <w:rsid w:val="00461391"/>
    <w:rsid w:val="00461CED"/>
    <w:rsid w:val="004621AD"/>
    <w:rsid w:val="004624B3"/>
    <w:rsid w:val="00462FC1"/>
    <w:rsid w:val="00465B8B"/>
    <w:rsid w:val="00465EC0"/>
    <w:rsid w:val="00465ED5"/>
    <w:rsid w:val="0046607C"/>
    <w:rsid w:val="004661EC"/>
    <w:rsid w:val="0046650A"/>
    <w:rsid w:val="00466F31"/>
    <w:rsid w:val="004671F4"/>
    <w:rsid w:val="004676B5"/>
    <w:rsid w:val="00467A48"/>
    <w:rsid w:val="00467C3D"/>
    <w:rsid w:val="00467C79"/>
    <w:rsid w:val="00470734"/>
    <w:rsid w:val="00470A58"/>
    <w:rsid w:val="00470C50"/>
    <w:rsid w:val="00471AFE"/>
    <w:rsid w:val="004721AE"/>
    <w:rsid w:val="004721E4"/>
    <w:rsid w:val="00472EF7"/>
    <w:rsid w:val="00472FF6"/>
    <w:rsid w:val="004730F9"/>
    <w:rsid w:val="0047401B"/>
    <w:rsid w:val="004740C9"/>
    <w:rsid w:val="00474534"/>
    <w:rsid w:val="004748D4"/>
    <w:rsid w:val="00474D0B"/>
    <w:rsid w:val="00475217"/>
    <w:rsid w:val="00475A6F"/>
    <w:rsid w:val="00476A56"/>
    <w:rsid w:val="00477373"/>
    <w:rsid w:val="00477510"/>
    <w:rsid w:val="00477917"/>
    <w:rsid w:val="004779A4"/>
    <w:rsid w:val="004800BC"/>
    <w:rsid w:val="00480312"/>
    <w:rsid w:val="00480652"/>
    <w:rsid w:val="00481380"/>
    <w:rsid w:val="00482931"/>
    <w:rsid w:val="0048306F"/>
    <w:rsid w:val="00483F15"/>
    <w:rsid w:val="00484AEB"/>
    <w:rsid w:val="00485B73"/>
    <w:rsid w:val="00485DBC"/>
    <w:rsid w:val="00486582"/>
    <w:rsid w:val="004867EF"/>
    <w:rsid w:val="00486DF2"/>
    <w:rsid w:val="00486FF5"/>
    <w:rsid w:val="0048733B"/>
    <w:rsid w:val="0048754B"/>
    <w:rsid w:val="00487F6A"/>
    <w:rsid w:val="004902EF"/>
    <w:rsid w:val="0049121E"/>
    <w:rsid w:val="00491881"/>
    <w:rsid w:val="00491D0A"/>
    <w:rsid w:val="00491E9E"/>
    <w:rsid w:val="0049248B"/>
    <w:rsid w:val="00492737"/>
    <w:rsid w:val="00492795"/>
    <w:rsid w:val="00492F0C"/>
    <w:rsid w:val="004936AC"/>
    <w:rsid w:val="00493B4E"/>
    <w:rsid w:val="00495204"/>
    <w:rsid w:val="0049524E"/>
    <w:rsid w:val="00496DF5"/>
    <w:rsid w:val="00497E97"/>
    <w:rsid w:val="004A030A"/>
    <w:rsid w:val="004A0821"/>
    <w:rsid w:val="004A0BEB"/>
    <w:rsid w:val="004A0CCF"/>
    <w:rsid w:val="004A20F9"/>
    <w:rsid w:val="004A2897"/>
    <w:rsid w:val="004A2DAF"/>
    <w:rsid w:val="004A3100"/>
    <w:rsid w:val="004A3B7E"/>
    <w:rsid w:val="004A5744"/>
    <w:rsid w:val="004A57CA"/>
    <w:rsid w:val="004A5D9C"/>
    <w:rsid w:val="004A60D7"/>
    <w:rsid w:val="004A66B8"/>
    <w:rsid w:val="004A6E2E"/>
    <w:rsid w:val="004A7258"/>
    <w:rsid w:val="004A7830"/>
    <w:rsid w:val="004A79A6"/>
    <w:rsid w:val="004A79E6"/>
    <w:rsid w:val="004A7B45"/>
    <w:rsid w:val="004B00F4"/>
    <w:rsid w:val="004B0457"/>
    <w:rsid w:val="004B08BA"/>
    <w:rsid w:val="004B11D6"/>
    <w:rsid w:val="004B239E"/>
    <w:rsid w:val="004B23E1"/>
    <w:rsid w:val="004B437F"/>
    <w:rsid w:val="004B599F"/>
    <w:rsid w:val="004B6677"/>
    <w:rsid w:val="004B6C83"/>
    <w:rsid w:val="004B737B"/>
    <w:rsid w:val="004B7F23"/>
    <w:rsid w:val="004C0AC4"/>
    <w:rsid w:val="004C0CA3"/>
    <w:rsid w:val="004C0CD0"/>
    <w:rsid w:val="004C2A4B"/>
    <w:rsid w:val="004C3BF8"/>
    <w:rsid w:val="004C3F69"/>
    <w:rsid w:val="004C4B2B"/>
    <w:rsid w:val="004C4B7F"/>
    <w:rsid w:val="004C4CC3"/>
    <w:rsid w:val="004C5635"/>
    <w:rsid w:val="004C5662"/>
    <w:rsid w:val="004C5A21"/>
    <w:rsid w:val="004C5ADD"/>
    <w:rsid w:val="004C5F73"/>
    <w:rsid w:val="004C63ED"/>
    <w:rsid w:val="004C662A"/>
    <w:rsid w:val="004C6708"/>
    <w:rsid w:val="004C75CE"/>
    <w:rsid w:val="004C7706"/>
    <w:rsid w:val="004C7E44"/>
    <w:rsid w:val="004C7F84"/>
    <w:rsid w:val="004D0133"/>
    <w:rsid w:val="004D06E5"/>
    <w:rsid w:val="004D115C"/>
    <w:rsid w:val="004D1599"/>
    <w:rsid w:val="004D2223"/>
    <w:rsid w:val="004D228B"/>
    <w:rsid w:val="004D2AB4"/>
    <w:rsid w:val="004D2CC8"/>
    <w:rsid w:val="004D30D4"/>
    <w:rsid w:val="004D372D"/>
    <w:rsid w:val="004D4CD0"/>
    <w:rsid w:val="004D5B68"/>
    <w:rsid w:val="004D5B9D"/>
    <w:rsid w:val="004D6123"/>
    <w:rsid w:val="004D61B4"/>
    <w:rsid w:val="004D64B4"/>
    <w:rsid w:val="004D6B2D"/>
    <w:rsid w:val="004D71C4"/>
    <w:rsid w:val="004D7392"/>
    <w:rsid w:val="004D7878"/>
    <w:rsid w:val="004E0B02"/>
    <w:rsid w:val="004E1B62"/>
    <w:rsid w:val="004E586D"/>
    <w:rsid w:val="004E64C6"/>
    <w:rsid w:val="004E6EE0"/>
    <w:rsid w:val="004E70B3"/>
    <w:rsid w:val="004E7159"/>
    <w:rsid w:val="004E76C6"/>
    <w:rsid w:val="004E7D4B"/>
    <w:rsid w:val="004E7F0C"/>
    <w:rsid w:val="004F02B3"/>
    <w:rsid w:val="004F0DF4"/>
    <w:rsid w:val="004F2BA3"/>
    <w:rsid w:val="004F32FC"/>
    <w:rsid w:val="004F39EB"/>
    <w:rsid w:val="004F3B7A"/>
    <w:rsid w:val="004F426C"/>
    <w:rsid w:val="004F43E7"/>
    <w:rsid w:val="004F502E"/>
    <w:rsid w:val="004F6922"/>
    <w:rsid w:val="005003A8"/>
    <w:rsid w:val="005006EC"/>
    <w:rsid w:val="00500BC4"/>
    <w:rsid w:val="005014D0"/>
    <w:rsid w:val="00501643"/>
    <w:rsid w:val="005018D7"/>
    <w:rsid w:val="005025A9"/>
    <w:rsid w:val="00502872"/>
    <w:rsid w:val="0050291D"/>
    <w:rsid w:val="00502AD5"/>
    <w:rsid w:val="00502B22"/>
    <w:rsid w:val="00503FB0"/>
    <w:rsid w:val="0050403F"/>
    <w:rsid w:val="005058D7"/>
    <w:rsid w:val="00506260"/>
    <w:rsid w:val="00506FE0"/>
    <w:rsid w:val="0050745A"/>
    <w:rsid w:val="005074CA"/>
    <w:rsid w:val="005100DF"/>
    <w:rsid w:val="005113F4"/>
    <w:rsid w:val="00511AF5"/>
    <w:rsid w:val="00512079"/>
    <w:rsid w:val="005129B6"/>
    <w:rsid w:val="00512DA5"/>
    <w:rsid w:val="00513B11"/>
    <w:rsid w:val="00515439"/>
    <w:rsid w:val="0051627F"/>
    <w:rsid w:val="00516B1C"/>
    <w:rsid w:val="00516DB7"/>
    <w:rsid w:val="00517A60"/>
    <w:rsid w:val="005213E7"/>
    <w:rsid w:val="005224E5"/>
    <w:rsid w:val="00522940"/>
    <w:rsid w:val="00523485"/>
    <w:rsid w:val="00523B14"/>
    <w:rsid w:val="005254CC"/>
    <w:rsid w:val="00526C82"/>
    <w:rsid w:val="00526F48"/>
    <w:rsid w:val="005271E0"/>
    <w:rsid w:val="005272B0"/>
    <w:rsid w:val="005279BB"/>
    <w:rsid w:val="005306AB"/>
    <w:rsid w:val="00530913"/>
    <w:rsid w:val="00530EA3"/>
    <w:rsid w:val="00530F96"/>
    <w:rsid w:val="00531E91"/>
    <w:rsid w:val="00532924"/>
    <w:rsid w:val="00532D32"/>
    <w:rsid w:val="00533776"/>
    <w:rsid w:val="00533BF8"/>
    <w:rsid w:val="0053495F"/>
    <w:rsid w:val="005349A3"/>
    <w:rsid w:val="00534D25"/>
    <w:rsid w:val="005355D4"/>
    <w:rsid w:val="00536C1F"/>
    <w:rsid w:val="00536C97"/>
    <w:rsid w:val="00540992"/>
    <w:rsid w:val="005410BD"/>
    <w:rsid w:val="00541548"/>
    <w:rsid w:val="0054174A"/>
    <w:rsid w:val="00542127"/>
    <w:rsid w:val="005428C4"/>
    <w:rsid w:val="00543299"/>
    <w:rsid w:val="00544D3D"/>
    <w:rsid w:val="0054589D"/>
    <w:rsid w:val="005464BF"/>
    <w:rsid w:val="0054729F"/>
    <w:rsid w:val="00550034"/>
    <w:rsid w:val="005500E2"/>
    <w:rsid w:val="00550240"/>
    <w:rsid w:val="0055097A"/>
    <w:rsid w:val="00551417"/>
    <w:rsid w:val="005516B2"/>
    <w:rsid w:val="005519D3"/>
    <w:rsid w:val="00552B88"/>
    <w:rsid w:val="005536BF"/>
    <w:rsid w:val="005536CE"/>
    <w:rsid w:val="00553838"/>
    <w:rsid w:val="00554686"/>
    <w:rsid w:val="005549FE"/>
    <w:rsid w:val="00555571"/>
    <w:rsid w:val="005559E2"/>
    <w:rsid w:val="00555BF1"/>
    <w:rsid w:val="005562C8"/>
    <w:rsid w:val="0055676B"/>
    <w:rsid w:val="00556B92"/>
    <w:rsid w:val="00557127"/>
    <w:rsid w:val="0055784E"/>
    <w:rsid w:val="00560DF9"/>
    <w:rsid w:val="0056115F"/>
    <w:rsid w:val="00561569"/>
    <w:rsid w:val="0056178F"/>
    <w:rsid w:val="00561CE2"/>
    <w:rsid w:val="005620F5"/>
    <w:rsid w:val="005624C4"/>
    <w:rsid w:val="00563700"/>
    <w:rsid w:val="0056394D"/>
    <w:rsid w:val="00564749"/>
    <w:rsid w:val="0056498B"/>
    <w:rsid w:val="00565605"/>
    <w:rsid w:val="005660BF"/>
    <w:rsid w:val="00566355"/>
    <w:rsid w:val="005668EC"/>
    <w:rsid w:val="00566B52"/>
    <w:rsid w:val="005670BA"/>
    <w:rsid w:val="0056799D"/>
    <w:rsid w:val="00570C5E"/>
    <w:rsid w:val="0057167D"/>
    <w:rsid w:val="0057173D"/>
    <w:rsid w:val="005717AE"/>
    <w:rsid w:val="00572BF9"/>
    <w:rsid w:val="00573133"/>
    <w:rsid w:val="00573375"/>
    <w:rsid w:val="0057376A"/>
    <w:rsid w:val="005746F5"/>
    <w:rsid w:val="005763A5"/>
    <w:rsid w:val="005778DF"/>
    <w:rsid w:val="00580C9E"/>
    <w:rsid w:val="00580D1F"/>
    <w:rsid w:val="00580E07"/>
    <w:rsid w:val="005815AE"/>
    <w:rsid w:val="005816EE"/>
    <w:rsid w:val="005820D8"/>
    <w:rsid w:val="0058244E"/>
    <w:rsid w:val="0058289E"/>
    <w:rsid w:val="00582C7F"/>
    <w:rsid w:val="00582F3F"/>
    <w:rsid w:val="0058305A"/>
    <w:rsid w:val="00583810"/>
    <w:rsid w:val="00583AC9"/>
    <w:rsid w:val="00583F6D"/>
    <w:rsid w:val="00584561"/>
    <w:rsid w:val="005857BA"/>
    <w:rsid w:val="005859FF"/>
    <w:rsid w:val="005862EF"/>
    <w:rsid w:val="005865AC"/>
    <w:rsid w:val="00586BA6"/>
    <w:rsid w:val="0058723F"/>
    <w:rsid w:val="0058745E"/>
    <w:rsid w:val="00587462"/>
    <w:rsid w:val="005877CF"/>
    <w:rsid w:val="0058793C"/>
    <w:rsid w:val="00587AE1"/>
    <w:rsid w:val="0059005C"/>
    <w:rsid w:val="00590287"/>
    <w:rsid w:val="00590C2B"/>
    <w:rsid w:val="00591CCA"/>
    <w:rsid w:val="0059216D"/>
    <w:rsid w:val="00592D07"/>
    <w:rsid w:val="0059305C"/>
    <w:rsid w:val="0059322F"/>
    <w:rsid w:val="00593518"/>
    <w:rsid w:val="005943D8"/>
    <w:rsid w:val="005946E5"/>
    <w:rsid w:val="00594D99"/>
    <w:rsid w:val="00595D2A"/>
    <w:rsid w:val="00596E2F"/>
    <w:rsid w:val="005970B1"/>
    <w:rsid w:val="00597400"/>
    <w:rsid w:val="00597865"/>
    <w:rsid w:val="005A0287"/>
    <w:rsid w:val="005A0FFF"/>
    <w:rsid w:val="005A1680"/>
    <w:rsid w:val="005A182E"/>
    <w:rsid w:val="005A1A8B"/>
    <w:rsid w:val="005A1BBF"/>
    <w:rsid w:val="005A1E73"/>
    <w:rsid w:val="005A20DE"/>
    <w:rsid w:val="005A22F9"/>
    <w:rsid w:val="005A276D"/>
    <w:rsid w:val="005A32A4"/>
    <w:rsid w:val="005A36B9"/>
    <w:rsid w:val="005A4B13"/>
    <w:rsid w:val="005A4E86"/>
    <w:rsid w:val="005A6BB6"/>
    <w:rsid w:val="005A74EC"/>
    <w:rsid w:val="005A75ED"/>
    <w:rsid w:val="005A760B"/>
    <w:rsid w:val="005A76EB"/>
    <w:rsid w:val="005B0355"/>
    <w:rsid w:val="005B055E"/>
    <w:rsid w:val="005B19F9"/>
    <w:rsid w:val="005B2006"/>
    <w:rsid w:val="005B30DA"/>
    <w:rsid w:val="005B3619"/>
    <w:rsid w:val="005B3656"/>
    <w:rsid w:val="005B36A8"/>
    <w:rsid w:val="005B37CA"/>
    <w:rsid w:val="005B4964"/>
    <w:rsid w:val="005B4A0C"/>
    <w:rsid w:val="005B5A44"/>
    <w:rsid w:val="005B62F7"/>
    <w:rsid w:val="005B67E1"/>
    <w:rsid w:val="005B7159"/>
    <w:rsid w:val="005B7407"/>
    <w:rsid w:val="005B74BF"/>
    <w:rsid w:val="005B768D"/>
    <w:rsid w:val="005B7DBF"/>
    <w:rsid w:val="005B7FEF"/>
    <w:rsid w:val="005C0854"/>
    <w:rsid w:val="005C33E3"/>
    <w:rsid w:val="005C4709"/>
    <w:rsid w:val="005C488D"/>
    <w:rsid w:val="005C4D38"/>
    <w:rsid w:val="005C52CE"/>
    <w:rsid w:val="005C5343"/>
    <w:rsid w:val="005C55E7"/>
    <w:rsid w:val="005C571F"/>
    <w:rsid w:val="005C656A"/>
    <w:rsid w:val="005C6C7E"/>
    <w:rsid w:val="005C6FDA"/>
    <w:rsid w:val="005C7D31"/>
    <w:rsid w:val="005D2238"/>
    <w:rsid w:val="005D2415"/>
    <w:rsid w:val="005D28FB"/>
    <w:rsid w:val="005D35C4"/>
    <w:rsid w:val="005D363B"/>
    <w:rsid w:val="005D3ED5"/>
    <w:rsid w:val="005D422F"/>
    <w:rsid w:val="005D43C6"/>
    <w:rsid w:val="005D43F5"/>
    <w:rsid w:val="005D45D2"/>
    <w:rsid w:val="005D488A"/>
    <w:rsid w:val="005D49B2"/>
    <w:rsid w:val="005D5ED0"/>
    <w:rsid w:val="005D6045"/>
    <w:rsid w:val="005D621F"/>
    <w:rsid w:val="005D6D94"/>
    <w:rsid w:val="005D76D9"/>
    <w:rsid w:val="005D7B5D"/>
    <w:rsid w:val="005D7DCE"/>
    <w:rsid w:val="005E006D"/>
    <w:rsid w:val="005E07B3"/>
    <w:rsid w:val="005E0858"/>
    <w:rsid w:val="005E0E38"/>
    <w:rsid w:val="005E11A5"/>
    <w:rsid w:val="005E1EDE"/>
    <w:rsid w:val="005E2D8D"/>
    <w:rsid w:val="005E3BAF"/>
    <w:rsid w:val="005E3F51"/>
    <w:rsid w:val="005E455F"/>
    <w:rsid w:val="005E4E2F"/>
    <w:rsid w:val="005E52E9"/>
    <w:rsid w:val="005E53D4"/>
    <w:rsid w:val="005E545D"/>
    <w:rsid w:val="005E6409"/>
    <w:rsid w:val="005E6AE7"/>
    <w:rsid w:val="005E6C7C"/>
    <w:rsid w:val="005E6E2F"/>
    <w:rsid w:val="005E72F5"/>
    <w:rsid w:val="005E7754"/>
    <w:rsid w:val="005F065B"/>
    <w:rsid w:val="005F08DC"/>
    <w:rsid w:val="005F0F06"/>
    <w:rsid w:val="005F0FF7"/>
    <w:rsid w:val="005F11B2"/>
    <w:rsid w:val="005F1300"/>
    <w:rsid w:val="005F1813"/>
    <w:rsid w:val="005F2301"/>
    <w:rsid w:val="005F2C15"/>
    <w:rsid w:val="005F3219"/>
    <w:rsid w:val="005F35BE"/>
    <w:rsid w:val="005F390B"/>
    <w:rsid w:val="005F4557"/>
    <w:rsid w:val="005F484D"/>
    <w:rsid w:val="005F485B"/>
    <w:rsid w:val="005F4AA8"/>
    <w:rsid w:val="005F4BCD"/>
    <w:rsid w:val="005F4F2C"/>
    <w:rsid w:val="005F5555"/>
    <w:rsid w:val="005F5898"/>
    <w:rsid w:val="005F670C"/>
    <w:rsid w:val="005F6B1D"/>
    <w:rsid w:val="005F70AF"/>
    <w:rsid w:val="005F72FA"/>
    <w:rsid w:val="005F746C"/>
    <w:rsid w:val="005F7BCF"/>
    <w:rsid w:val="006007B3"/>
    <w:rsid w:val="006009A9"/>
    <w:rsid w:val="006015D4"/>
    <w:rsid w:val="00601A45"/>
    <w:rsid w:val="00601B4F"/>
    <w:rsid w:val="00601B7E"/>
    <w:rsid w:val="00601DF8"/>
    <w:rsid w:val="00601F67"/>
    <w:rsid w:val="00602317"/>
    <w:rsid w:val="006029B0"/>
    <w:rsid w:val="00602F20"/>
    <w:rsid w:val="0060320D"/>
    <w:rsid w:val="006035A1"/>
    <w:rsid w:val="006040BB"/>
    <w:rsid w:val="00604B52"/>
    <w:rsid w:val="006053E8"/>
    <w:rsid w:val="00605874"/>
    <w:rsid w:val="0060596A"/>
    <w:rsid w:val="00605998"/>
    <w:rsid w:val="006065ED"/>
    <w:rsid w:val="00606D37"/>
    <w:rsid w:val="006070C3"/>
    <w:rsid w:val="00607488"/>
    <w:rsid w:val="00607C66"/>
    <w:rsid w:val="0061048F"/>
    <w:rsid w:val="006104A7"/>
    <w:rsid w:val="00611456"/>
    <w:rsid w:val="00611855"/>
    <w:rsid w:val="006127D8"/>
    <w:rsid w:val="00612AC2"/>
    <w:rsid w:val="006136E9"/>
    <w:rsid w:val="00613887"/>
    <w:rsid w:val="00614264"/>
    <w:rsid w:val="006143F1"/>
    <w:rsid w:val="00614B21"/>
    <w:rsid w:val="00614C36"/>
    <w:rsid w:val="00614EEF"/>
    <w:rsid w:val="00615B78"/>
    <w:rsid w:val="00615E26"/>
    <w:rsid w:val="006162B7"/>
    <w:rsid w:val="006168E1"/>
    <w:rsid w:val="00617136"/>
    <w:rsid w:val="00617591"/>
    <w:rsid w:val="0061778B"/>
    <w:rsid w:val="006178F2"/>
    <w:rsid w:val="00617FD9"/>
    <w:rsid w:val="0062014C"/>
    <w:rsid w:val="00620B6D"/>
    <w:rsid w:val="00620C41"/>
    <w:rsid w:val="00620CAA"/>
    <w:rsid w:val="00620CEA"/>
    <w:rsid w:val="00620D84"/>
    <w:rsid w:val="00621166"/>
    <w:rsid w:val="006213AD"/>
    <w:rsid w:val="006215F4"/>
    <w:rsid w:val="00621832"/>
    <w:rsid w:val="00621AD9"/>
    <w:rsid w:val="00622827"/>
    <w:rsid w:val="00623450"/>
    <w:rsid w:val="00623A2D"/>
    <w:rsid w:val="006246CC"/>
    <w:rsid w:val="006248C8"/>
    <w:rsid w:val="00624999"/>
    <w:rsid w:val="00626158"/>
    <w:rsid w:val="006271DC"/>
    <w:rsid w:val="00627659"/>
    <w:rsid w:val="0063190A"/>
    <w:rsid w:val="00632332"/>
    <w:rsid w:val="00632C7A"/>
    <w:rsid w:val="00632CE4"/>
    <w:rsid w:val="006332BF"/>
    <w:rsid w:val="00633A4D"/>
    <w:rsid w:val="006346E9"/>
    <w:rsid w:val="00634747"/>
    <w:rsid w:val="00635353"/>
    <w:rsid w:val="00635C1D"/>
    <w:rsid w:val="00635F2D"/>
    <w:rsid w:val="0063730C"/>
    <w:rsid w:val="00640FFF"/>
    <w:rsid w:val="00641D09"/>
    <w:rsid w:val="00641D71"/>
    <w:rsid w:val="00641F44"/>
    <w:rsid w:val="00642F24"/>
    <w:rsid w:val="00643405"/>
    <w:rsid w:val="00643B7F"/>
    <w:rsid w:val="00643F0F"/>
    <w:rsid w:val="006456D6"/>
    <w:rsid w:val="006463DA"/>
    <w:rsid w:val="00647633"/>
    <w:rsid w:val="0064786E"/>
    <w:rsid w:val="006478B4"/>
    <w:rsid w:val="00647A6C"/>
    <w:rsid w:val="006505EA"/>
    <w:rsid w:val="00650CF7"/>
    <w:rsid w:val="006510AA"/>
    <w:rsid w:val="00651254"/>
    <w:rsid w:val="00651BA4"/>
    <w:rsid w:val="00651D68"/>
    <w:rsid w:val="00651FFB"/>
    <w:rsid w:val="00652011"/>
    <w:rsid w:val="00652280"/>
    <w:rsid w:val="006523DA"/>
    <w:rsid w:val="0065273E"/>
    <w:rsid w:val="00652AA8"/>
    <w:rsid w:val="00653509"/>
    <w:rsid w:val="00653A87"/>
    <w:rsid w:val="006547D1"/>
    <w:rsid w:val="00655215"/>
    <w:rsid w:val="00655288"/>
    <w:rsid w:val="006555F1"/>
    <w:rsid w:val="00655799"/>
    <w:rsid w:val="0065599A"/>
    <w:rsid w:val="00655D67"/>
    <w:rsid w:val="00655E6F"/>
    <w:rsid w:val="006562E1"/>
    <w:rsid w:val="00656AE0"/>
    <w:rsid w:val="006570A3"/>
    <w:rsid w:val="0065777B"/>
    <w:rsid w:val="006577BD"/>
    <w:rsid w:val="0065792E"/>
    <w:rsid w:val="00660613"/>
    <w:rsid w:val="00660874"/>
    <w:rsid w:val="00660E2C"/>
    <w:rsid w:val="006613F4"/>
    <w:rsid w:val="006624DF"/>
    <w:rsid w:val="00662984"/>
    <w:rsid w:val="006657B4"/>
    <w:rsid w:val="00665854"/>
    <w:rsid w:val="00665C25"/>
    <w:rsid w:val="00666706"/>
    <w:rsid w:val="00666E11"/>
    <w:rsid w:val="00666F61"/>
    <w:rsid w:val="00667FA4"/>
    <w:rsid w:val="00671842"/>
    <w:rsid w:val="00671B38"/>
    <w:rsid w:val="006721AF"/>
    <w:rsid w:val="006723B1"/>
    <w:rsid w:val="0067260A"/>
    <w:rsid w:val="00672632"/>
    <w:rsid w:val="00672B10"/>
    <w:rsid w:val="00673FFA"/>
    <w:rsid w:val="00674426"/>
    <w:rsid w:val="0067475E"/>
    <w:rsid w:val="00674AEA"/>
    <w:rsid w:val="00674C76"/>
    <w:rsid w:val="00674E8B"/>
    <w:rsid w:val="00675896"/>
    <w:rsid w:val="00676168"/>
    <w:rsid w:val="00676541"/>
    <w:rsid w:val="00677196"/>
    <w:rsid w:val="00677532"/>
    <w:rsid w:val="006804FC"/>
    <w:rsid w:val="00680B86"/>
    <w:rsid w:val="00680C3C"/>
    <w:rsid w:val="00680C83"/>
    <w:rsid w:val="00680CF3"/>
    <w:rsid w:val="00681A46"/>
    <w:rsid w:val="00681FDF"/>
    <w:rsid w:val="006825AA"/>
    <w:rsid w:val="0068335A"/>
    <w:rsid w:val="006833B5"/>
    <w:rsid w:val="006833EB"/>
    <w:rsid w:val="00683EF9"/>
    <w:rsid w:val="00683FB3"/>
    <w:rsid w:val="0068442E"/>
    <w:rsid w:val="0068484B"/>
    <w:rsid w:val="0068556B"/>
    <w:rsid w:val="00685872"/>
    <w:rsid w:val="006865B2"/>
    <w:rsid w:val="006868BD"/>
    <w:rsid w:val="00686F37"/>
    <w:rsid w:val="00687351"/>
    <w:rsid w:val="00687CB8"/>
    <w:rsid w:val="00687FE2"/>
    <w:rsid w:val="006906F4"/>
    <w:rsid w:val="006911AF"/>
    <w:rsid w:val="006914B0"/>
    <w:rsid w:val="006919BA"/>
    <w:rsid w:val="00691A3F"/>
    <w:rsid w:val="00691E61"/>
    <w:rsid w:val="006920C2"/>
    <w:rsid w:val="00692292"/>
    <w:rsid w:val="006924D5"/>
    <w:rsid w:val="00692CA9"/>
    <w:rsid w:val="006939CD"/>
    <w:rsid w:val="00694BAE"/>
    <w:rsid w:val="00694E29"/>
    <w:rsid w:val="00696017"/>
    <w:rsid w:val="00696452"/>
    <w:rsid w:val="00696AC5"/>
    <w:rsid w:val="00697423"/>
    <w:rsid w:val="006979FF"/>
    <w:rsid w:val="006A09F9"/>
    <w:rsid w:val="006A0F0D"/>
    <w:rsid w:val="006A0FB1"/>
    <w:rsid w:val="006A11A8"/>
    <w:rsid w:val="006A11D4"/>
    <w:rsid w:val="006A1A3C"/>
    <w:rsid w:val="006A1AD8"/>
    <w:rsid w:val="006A1B49"/>
    <w:rsid w:val="006A1B98"/>
    <w:rsid w:val="006A1BF6"/>
    <w:rsid w:val="006A1C36"/>
    <w:rsid w:val="006A1EE2"/>
    <w:rsid w:val="006A276D"/>
    <w:rsid w:val="006A28ED"/>
    <w:rsid w:val="006A351F"/>
    <w:rsid w:val="006A3A1C"/>
    <w:rsid w:val="006A3D10"/>
    <w:rsid w:val="006A412B"/>
    <w:rsid w:val="006A42B4"/>
    <w:rsid w:val="006A48B3"/>
    <w:rsid w:val="006A4B40"/>
    <w:rsid w:val="006A4B68"/>
    <w:rsid w:val="006A4FB7"/>
    <w:rsid w:val="006A51E5"/>
    <w:rsid w:val="006A53D0"/>
    <w:rsid w:val="006A56A6"/>
    <w:rsid w:val="006A5754"/>
    <w:rsid w:val="006A61FD"/>
    <w:rsid w:val="006A64D8"/>
    <w:rsid w:val="006A69FC"/>
    <w:rsid w:val="006A6FEC"/>
    <w:rsid w:val="006A702D"/>
    <w:rsid w:val="006A762D"/>
    <w:rsid w:val="006A7CC9"/>
    <w:rsid w:val="006A7F8B"/>
    <w:rsid w:val="006B0612"/>
    <w:rsid w:val="006B0AE6"/>
    <w:rsid w:val="006B0C4F"/>
    <w:rsid w:val="006B0E4C"/>
    <w:rsid w:val="006B2818"/>
    <w:rsid w:val="006B2AC0"/>
    <w:rsid w:val="006B2E45"/>
    <w:rsid w:val="006B2E51"/>
    <w:rsid w:val="006B3160"/>
    <w:rsid w:val="006B33CC"/>
    <w:rsid w:val="006B348A"/>
    <w:rsid w:val="006B3EE7"/>
    <w:rsid w:val="006B3F8C"/>
    <w:rsid w:val="006B4074"/>
    <w:rsid w:val="006B4995"/>
    <w:rsid w:val="006B4E17"/>
    <w:rsid w:val="006B52CC"/>
    <w:rsid w:val="006B5502"/>
    <w:rsid w:val="006B7406"/>
    <w:rsid w:val="006B784B"/>
    <w:rsid w:val="006B7BB0"/>
    <w:rsid w:val="006B7DA4"/>
    <w:rsid w:val="006B7ED0"/>
    <w:rsid w:val="006C00C2"/>
    <w:rsid w:val="006C037B"/>
    <w:rsid w:val="006C0666"/>
    <w:rsid w:val="006C0B00"/>
    <w:rsid w:val="006C1222"/>
    <w:rsid w:val="006C1FBA"/>
    <w:rsid w:val="006C23D1"/>
    <w:rsid w:val="006C333E"/>
    <w:rsid w:val="006C3550"/>
    <w:rsid w:val="006C3A0A"/>
    <w:rsid w:val="006C3B5A"/>
    <w:rsid w:val="006C3B90"/>
    <w:rsid w:val="006C3F1D"/>
    <w:rsid w:val="006C4679"/>
    <w:rsid w:val="006C4ABF"/>
    <w:rsid w:val="006C5A24"/>
    <w:rsid w:val="006C5EA7"/>
    <w:rsid w:val="006C68A0"/>
    <w:rsid w:val="006C7009"/>
    <w:rsid w:val="006C71A6"/>
    <w:rsid w:val="006C77A2"/>
    <w:rsid w:val="006D05B5"/>
    <w:rsid w:val="006D1C65"/>
    <w:rsid w:val="006D1D55"/>
    <w:rsid w:val="006D2617"/>
    <w:rsid w:val="006D32B2"/>
    <w:rsid w:val="006D3516"/>
    <w:rsid w:val="006D36C2"/>
    <w:rsid w:val="006D3A60"/>
    <w:rsid w:val="006D3BE1"/>
    <w:rsid w:val="006D3D53"/>
    <w:rsid w:val="006D4118"/>
    <w:rsid w:val="006D53A3"/>
    <w:rsid w:val="006D5886"/>
    <w:rsid w:val="006D5B36"/>
    <w:rsid w:val="006E0E83"/>
    <w:rsid w:val="006E1660"/>
    <w:rsid w:val="006E2FF2"/>
    <w:rsid w:val="006E33C0"/>
    <w:rsid w:val="006E3696"/>
    <w:rsid w:val="006E40D1"/>
    <w:rsid w:val="006E477F"/>
    <w:rsid w:val="006E478C"/>
    <w:rsid w:val="006E5445"/>
    <w:rsid w:val="006E544E"/>
    <w:rsid w:val="006E579A"/>
    <w:rsid w:val="006E621E"/>
    <w:rsid w:val="006E6A06"/>
    <w:rsid w:val="006E6D19"/>
    <w:rsid w:val="006E74CB"/>
    <w:rsid w:val="006E7610"/>
    <w:rsid w:val="006E7CA2"/>
    <w:rsid w:val="006E7E27"/>
    <w:rsid w:val="006E7E40"/>
    <w:rsid w:val="006F0437"/>
    <w:rsid w:val="006F1856"/>
    <w:rsid w:val="006F1960"/>
    <w:rsid w:val="006F1A68"/>
    <w:rsid w:val="006F1DB4"/>
    <w:rsid w:val="006F1E78"/>
    <w:rsid w:val="006F2C1A"/>
    <w:rsid w:val="006F3201"/>
    <w:rsid w:val="006F3B76"/>
    <w:rsid w:val="006F45DB"/>
    <w:rsid w:val="006F46B7"/>
    <w:rsid w:val="006F4A05"/>
    <w:rsid w:val="006F545C"/>
    <w:rsid w:val="006F65E6"/>
    <w:rsid w:val="006F76B2"/>
    <w:rsid w:val="006F7FAD"/>
    <w:rsid w:val="0070036B"/>
    <w:rsid w:val="007010FE"/>
    <w:rsid w:val="007011A1"/>
    <w:rsid w:val="00701B5D"/>
    <w:rsid w:val="00701B7C"/>
    <w:rsid w:val="0070274D"/>
    <w:rsid w:val="00702E11"/>
    <w:rsid w:val="00704B95"/>
    <w:rsid w:val="00705150"/>
    <w:rsid w:val="00705155"/>
    <w:rsid w:val="00710367"/>
    <w:rsid w:val="00710767"/>
    <w:rsid w:val="00711363"/>
    <w:rsid w:val="0071144B"/>
    <w:rsid w:val="00711A71"/>
    <w:rsid w:val="00711E23"/>
    <w:rsid w:val="00712A35"/>
    <w:rsid w:val="00712CCF"/>
    <w:rsid w:val="00713074"/>
    <w:rsid w:val="007132F7"/>
    <w:rsid w:val="007136A9"/>
    <w:rsid w:val="007136D3"/>
    <w:rsid w:val="00713735"/>
    <w:rsid w:val="00713F3C"/>
    <w:rsid w:val="00714095"/>
    <w:rsid w:val="00714329"/>
    <w:rsid w:val="00715BE1"/>
    <w:rsid w:val="007169B0"/>
    <w:rsid w:val="00716A9E"/>
    <w:rsid w:val="007200C1"/>
    <w:rsid w:val="007203C9"/>
    <w:rsid w:val="00720524"/>
    <w:rsid w:val="00720A1B"/>
    <w:rsid w:val="007223DB"/>
    <w:rsid w:val="00722BE0"/>
    <w:rsid w:val="00722DCB"/>
    <w:rsid w:val="0072301F"/>
    <w:rsid w:val="00723176"/>
    <w:rsid w:val="00723925"/>
    <w:rsid w:val="00723952"/>
    <w:rsid w:val="0072435F"/>
    <w:rsid w:val="00724C1E"/>
    <w:rsid w:val="007269DA"/>
    <w:rsid w:val="007270AD"/>
    <w:rsid w:val="00730486"/>
    <w:rsid w:val="00730983"/>
    <w:rsid w:val="00730E53"/>
    <w:rsid w:val="007316D6"/>
    <w:rsid w:val="00731C15"/>
    <w:rsid w:val="007323D6"/>
    <w:rsid w:val="007327F0"/>
    <w:rsid w:val="00733574"/>
    <w:rsid w:val="00734637"/>
    <w:rsid w:val="00734FFC"/>
    <w:rsid w:val="007350CD"/>
    <w:rsid w:val="007350D1"/>
    <w:rsid w:val="007353D5"/>
    <w:rsid w:val="007355E9"/>
    <w:rsid w:val="007358B2"/>
    <w:rsid w:val="00735B9F"/>
    <w:rsid w:val="00735F17"/>
    <w:rsid w:val="00736191"/>
    <w:rsid w:val="00737214"/>
    <w:rsid w:val="0073752E"/>
    <w:rsid w:val="007378DD"/>
    <w:rsid w:val="0074059A"/>
    <w:rsid w:val="007409DB"/>
    <w:rsid w:val="00740FF8"/>
    <w:rsid w:val="0074102C"/>
    <w:rsid w:val="00741750"/>
    <w:rsid w:val="007417A5"/>
    <w:rsid w:val="00742BCA"/>
    <w:rsid w:val="00743408"/>
    <w:rsid w:val="007436BD"/>
    <w:rsid w:val="00743E9C"/>
    <w:rsid w:val="007440B7"/>
    <w:rsid w:val="00744264"/>
    <w:rsid w:val="0074561E"/>
    <w:rsid w:val="00745913"/>
    <w:rsid w:val="00745C6B"/>
    <w:rsid w:val="00746A42"/>
    <w:rsid w:val="00746E48"/>
    <w:rsid w:val="00747D14"/>
    <w:rsid w:val="00750997"/>
    <w:rsid w:val="00750C8A"/>
    <w:rsid w:val="00750F21"/>
    <w:rsid w:val="00751128"/>
    <w:rsid w:val="00751BDC"/>
    <w:rsid w:val="00751E3D"/>
    <w:rsid w:val="00752ABC"/>
    <w:rsid w:val="00753A7D"/>
    <w:rsid w:val="0075466F"/>
    <w:rsid w:val="00755953"/>
    <w:rsid w:val="00756DB4"/>
    <w:rsid w:val="00757165"/>
    <w:rsid w:val="0075787A"/>
    <w:rsid w:val="00757C48"/>
    <w:rsid w:val="00760AFA"/>
    <w:rsid w:val="00761510"/>
    <w:rsid w:val="00761AE9"/>
    <w:rsid w:val="007625A8"/>
    <w:rsid w:val="00762652"/>
    <w:rsid w:val="007628FD"/>
    <w:rsid w:val="00762AE6"/>
    <w:rsid w:val="00762EF9"/>
    <w:rsid w:val="00763008"/>
    <w:rsid w:val="007641B3"/>
    <w:rsid w:val="00764EC5"/>
    <w:rsid w:val="00765488"/>
    <w:rsid w:val="007658A6"/>
    <w:rsid w:val="00766292"/>
    <w:rsid w:val="00766AA6"/>
    <w:rsid w:val="00767180"/>
    <w:rsid w:val="00767A44"/>
    <w:rsid w:val="00767A96"/>
    <w:rsid w:val="00767B7C"/>
    <w:rsid w:val="00767DF9"/>
    <w:rsid w:val="00770EF5"/>
    <w:rsid w:val="007710C9"/>
    <w:rsid w:val="0077122B"/>
    <w:rsid w:val="007712F8"/>
    <w:rsid w:val="00771D10"/>
    <w:rsid w:val="007720F9"/>
    <w:rsid w:val="00773BEB"/>
    <w:rsid w:val="00774B31"/>
    <w:rsid w:val="0077521C"/>
    <w:rsid w:val="0077546F"/>
    <w:rsid w:val="00776214"/>
    <w:rsid w:val="00776231"/>
    <w:rsid w:val="0077682B"/>
    <w:rsid w:val="0077687F"/>
    <w:rsid w:val="00776E57"/>
    <w:rsid w:val="0078063E"/>
    <w:rsid w:val="007808E3"/>
    <w:rsid w:val="00780915"/>
    <w:rsid w:val="0078116D"/>
    <w:rsid w:val="00781472"/>
    <w:rsid w:val="00781FB0"/>
    <w:rsid w:val="00782414"/>
    <w:rsid w:val="00783D45"/>
    <w:rsid w:val="00785023"/>
    <w:rsid w:val="00785249"/>
    <w:rsid w:val="00785758"/>
    <w:rsid w:val="007867B6"/>
    <w:rsid w:val="00786FC0"/>
    <w:rsid w:val="00787122"/>
    <w:rsid w:val="00787BF7"/>
    <w:rsid w:val="00787F44"/>
    <w:rsid w:val="007900FA"/>
    <w:rsid w:val="00790EA5"/>
    <w:rsid w:val="007910D9"/>
    <w:rsid w:val="00791E9C"/>
    <w:rsid w:val="00791F0F"/>
    <w:rsid w:val="0079253A"/>
    <w:rsid w:val="0079341D"/>
    <w:rsid w:val="00794091"/>
    <w:rsid w:val="0079439B"/>
    <w:rsid w:val="00794B6B"/>
    <w:rsid w:val="00795D27"/>
    <w:rsid w:val="007964C5"/>
    <w:rsid w:val="007972D6"/>
    <w:rsid w:val="0079736B"/>
    <w:rsid w:val="00797810"/>
    <w:rsid w:val="00797BC6"/>
    <w:rsid w:val="00797FC4"/>
    <w:rsid w:val="007A0088"/>
    <w:rsid w:val="007A0F48"/>
    <w:rsid w:val="007A1020"/>
    <w:rsid w:val="007A12CB"/>
    <w:rsid w:val="007A1A0E"/>
    <w:rsid w:val="007A218A"/>
    <w:rsid w:val="007A296C"/>
    <w:rsid w:val="007A3AD3"/>
    <w:rsid w:val="007A3CC4"/>
    <w:rsid w:val="007A3D66"/>
    <w:rsid w:val="007A4298"/>
    <w:rsid w:val="007A44F7"/>
    <w:rsid w:val="007A4CD2"/>
    <w:rsid w:val="007A4D49"/>
    <w:rsid w:val="007A521B"/>
    <w:rsid w:val="007A62CF"/>
    <w:rsid w:val="007A7287"/>
    <w:rsid w:val="007A7BB3"/>
    <w:rsid w:val="007B00DB"/>
    <w:rsid w:val="007B0188"/>
    <w:rsid w:val="007B13F1"/>
    <w:rsid w:val="007B2488"/>
    <w:rsid w:val="007B3AD3"/>
    <w:rsid w:val="007B4935"/>
    <w:rsid w:val="007B551E"/>
    <w:rsid w:val="007B5B6C"/>
    <w:rsid w:val="007B5CDC"/>
    <w:rsid w:val="007B6B64"/>
    <w:rsid w:val="007B70B2"/>
    <w:rsid w:val="007B70C0"/>
    <w:rsid w:val="007B70F6"/>
    <w:rsid w:val="007C0FFF"/>
    <w:rsid w:val="007C121D"/>
    <w:rsid w:val="007C1566"/>
    <w:rsid w:val="007C1FBF"/>
    <w:rsid w:val="007C2141"/>
    <w:rsid w:val="007C35CD"/>
    <w:rsid w:val="007C3C32"/>
    <w:rsid w:val="007C3C5A"/>
    <w:rsid w:val="007C467D"/>
    <w:rsid w:val="007C46CB"/>
    <w:rsid w:val="007C4EB5"/>
    <w:rsid w:val="007C6AF1"/>
    <w:rsid w:val="007C7275"/>
    <w:rsid w:val="007D058F"/>
    <w:rsid w:val="007D0784"/>
    <w:rsid w:val="007D1170"/>
    <w:rsid w:val="007D2A10"/>
    <w:rsid w:val="007D2B39"/>
    <w:rsid w:val="007D2BC2"/>
    <w:rsid w:val="007D326A"/>
    <w:rsid w:val="007D39E3"/>
    <w:rsid w:val="007D414C"/>
    <w:rsid w:val="007D4946"/>
    <w:rsid w:val="007D598F"/>
    <w:rsid w:val="007D5A96"/>
    <w:rsid w:val="007D6074"/>
    <w:rsid w:val="007D6872"/>
    <w:rsid w:val="007D7011"/>
    <w:rsid w:val="007D7109"/>
    <w:rsid w:val="007D731B"/>
    <w:rsid w:val="007E0AEC"/>
    <w:rsid w:val="007E0D16"/>
    <w:rsid w:val="007E1615"/>
    <w:rsid w:val="007E1802"/>
    <w:rsid w:val="007E2226"/>
    <w:rsid w:val="007E22F4"/>
    <w:rsid w:val="007E24A5"/>
    <w:rsid w:val="007E26F4"/>
    <w:rsid w:val="007E2A47"/>
    <w:rsid w:val="007E2B65"/>
    <w:rsid w:val="007E3137"/>
    <w:rsid w:val="007E3154"/>
    <w:rsid w:val="007E3175"/>
    <w:rsid w:val="007E320D"/>
    <w:rsid w:val="007E3236"/>
    <w:rsid w:val="007E3325"/>
    <w:rsid w:val="007E4A9B"/>
    <w:rsid w:val="007E5D1C"/>
    <w:rsid w:val="007E5D52"/>
    <w:rsid w:val="007E6EDD"/>
    <w:rsid w:val="007E7786"/>
    <w:rsid w:val="007E7BA1"/>
    <w:rsid w:val="007E7E9B"/>
    <w:rsid w:val="007F03FE"/>
    <w:rsid w:val="007F07BA"/>
    <w:rsid w:val="007F0E36"/>
    <w:rsid w:val="007F1601"/>
    <w:rsid w:val="007F1615"/>
    <w:rsid w:val="007F19B1"/>
    <w:rsid w:val="007F1A5A"/>
    <w:rsid w:val="007F248B"/>
    <w:rsid w:val="007F250D"/>
    <w:rsid w:val="007F32BD"/>
    <w:rsid w:val="007F3D3C"/>
    <w:rsid w:val="007F42F7"/>
    <w:rsid w:val="007F4ADB"/>
    <w:rsid w:val="007F5897"/>
    <w:rsid w:val="007F6273"/>
    <w:rsid w:val="007F62D2"/>
    <w:rsid w:val="007F793B"/>
    <w:rsid w:val="00800B7F"/>
    <w:rsid w:val="0080125E"/>
    <w:rsid w:val="00801878"/>
    <w:rsid w:val="0080322F"/>
    <w:rsid w:val="0080518B"/>
    <w:rsid w:val="008053F7"/>
    <w:rsid w:val="00805708"/>
    <w:rsid w:val="00806134"/>
    <w:rsid w:val="00806309"/>
    <w:rsid w:val="00806671"/>
    <w:rsid w:val="008066E8"/>
    <w:rsid w:val="008069E4"/>
    <w:rsid w:val="0080727D"/>
    <w:rsid w:val="00807642"/>
    <w:rsid w:val="008076CA"/>
    <w:rsid w:val="00810C14"/>
    <w:rsid w:val="00810C15"/>
    <w:rsid w:val="00810E66"/>
    <w:rsid w:val="0081122A"/>
    <w:rsid w:val="00812235"/>
    <w:rsid w:val="00813B7D"/>
    <w:rsid w:val="00813C3E"/>
    <w:rsid w:val="00814774"/>
    <w:rsid w:val="008159CF"/>
    <w:rsid w:val="00816C1C"/>
    <w:rsid w:val="00817A2E"/>
    <w:rsid w:val="00817DBB"/>
    <w:rsid w:val="0082013C"/>
    <w:rsid w:val="00820528"/>
    <w:rsid w:val="008207CA"/>
    <w:rsid w:val="00820E95"/>
    <w:rsid w:val="008210C0"/>
    <w:rsid w:val="00821403"/>
    <w:rsid w:val="00821EE5"/>
    <w:rsid w:val="0082259D"/>
    <w:rsid w:val="00822613"/>
    <w:rsid w:val="00822CD9"/>
    <w:rsid w:val="00822E76"/>
    <w:rsid w:val="00822F22"/>
    <w:rsid w:val="0082311B"/>
    <w:rsid w:val="00823447"/>
    <w:rsid w:val="00823548"/>
    <w:rsid w:val="008252F5"/>
    <w:rsid w:val="00825587"/>
    <w:rsid w:val="00825E0A"/>
    <w:rsid w:val="00826113"/>
    <w:rsid w:val="00826D38"/>
    <w:rsid w:val="00826E40"/>
    <w:rsid w:val="008270E6"/>
    <w:rsid w:val="0082791B"/>
    <w:rsid w:val="00827CA9"/>
    <w:rsid w:val="00827D58"/>
    <w:rsid w:val="00827E9A"/>
    <w:rsid w:val="00831398"/>
    <w:rsid w:val="008315DF"/>
    <w:rsid w:val="00831674"/>
    <w:rsid w:val="008320C9"/>
    <w:rsid w:val="008328FF"/>
    <w:rsid w:val="008329FD"/>
    <w:rsid w:val="00832FAD"/>
    <w:rsid w:val="008335B3"/>
    <w:rsid w:val="00833678"/>
    <w:rsid w:val="008337AE"/>
    <w:rsid w:val="00833970"/>
    <w:rsid w:val="00835417"/>
    <w:rsid w:val="00835525"/>
    <w:rsid w:val="00836532"/>
    <w:rsid w:val="0083663E"/>
    <w:rsid w:val="0083740D"/>
    <w:rsid w:val="00837EB8"/>
    <w:rsid w:val="008403DC"/>
    <w:rsid w:val="00840D94"/>
    <w:rsid w:val="008414DA"/>
    <w:rsid w:val="0084298B"/>
    <w:rsid w:val="00842A0F"/>
    <w:rsid w:val="00843F23"/>
    <w:rsid w:val="00844845"/>
    <w:rsid w:val="00845014"/>
    <w:rsid w:val="00846A32"/>
    <w:rsid w:val="00847220"/>
    <w:rsid w:val="008475BF"/>
    <w:rsid w:val="00850099"/>
    <w:rsid w:val="00850ACB"/>
    <w:rsid w:val="00851063"/>
    <w:rsid w:val="0085108B"/>
    <w:rsid w:val="008519F7"/>
    <w:rsid w:val="00851B15"/>
    <w:rsid w:val="00853F77"/>
    <w:rsid w:val="0085442B"/>
    <w:rsid w:val="008545A3"/>
    <w:rsid w:val="008546EB"/>
    <w:rsid w:val="00854720"/>
    <w:rsid w:val="00854A13"/>
    <w:rsid w:val="0085613C"/>
    <w:rsid w:val="00856316"/>
    <w:rsid w:val="0085659E"/>
    <w:rsid w:val="008567B4"/>
    <w:rsid w:val="008568A0"/>
    <w:rsid w:val="00857D08"/>
    <w:rsid w:val="008602A8"/>
    <w:rsid w:val="00860800"/>
    <w:rsid w:val="00860C92"/>
    <w:rsid w:val="00862035"/>
    <w:rsid w:val="00862234"/>
    <w:rsid w:val="008633C4"/>
    <w:rsid w:val="00864309"/>
    <w:rsid w:val="008644D2"/>
    <w:rsid w:val="008652BF"/>
    <w:rsid w:val="00865ABE"/>
    <w:rsid w:val="008660C0"/>
    <w:rsid w:val="008665E1"/>
    <w:rsid w:val="0086666F"/>
    <w:rsid w:val="00866DEF"/>
    <w:rsid w:val="00866F63"/>
    <w:rsid w:val="008674C5"/>
    <w:rsid w:val="008674F5"/>
    <w:rsid w:val="00870271"/>
    <w:rsid w:val="00871E7C"/>
    <w:rsid w:val="00872338"/>
    <w:rsid w:val="00872B41"/>
    <w:rsid w:val="0087309A"/>
    <w:rsid w:val="00873ABE"/>
    <w:rsid w:val="00873E24"/>
    <w:rsid w:val="00874F67"/>
    <w:rsid w:val="008750F3"/>
    <w:rsid w:val="00875719"/>
    <w:rsid w:val="00875CD1"/>
    <w:rsid w:val="00876CEA"/>
    <w:rsid w:val="0087764D"/>
    <w:rsid w:val="0088022B"/>
    <w:rsid w:val="0088058F"/>
    <w:rsid w:val="00880B6C"/>
    <w:rsid w:val="00880FA8"/>
    <w:rsid w:val="008818DC"/>
    <w:rsid w:val="00881F3E"/>
    <w:rsid w:val="00882515"/>
    <w:rsid w:val="00882E79"/>
    <w:rsid w:val="00882F4D"/>
    <w:rsid w:val="00883AD8"/>
    <w:rsid w:val="00883B32"/>
    <w:rsid w:val="00884182"/>
    <w:rsid w:val="0088454C"/>
    <w:rsid w:val="008856C8"/>
    <w:rsid w:val="008859ED"/>
    <w:rsid w:val="008860A7"/>
    <w:rsid w:val="008865B5"/>
    <w:rsid w:val="008901F1"/>
    <w:rsid w:val="008903D5"/>
    <w:rsid w:val="0089063B"/>
    <w:rsid w:val="00890BBA"/>
    <w:rsid w:val="00890F25"/>
    <w:rsid w:val="0089161B"/>
    <w:rsid w:val="0089201B"/>
    <w:rsid w:val="00892E8E"/>
    <w:rsid w:val="008932CF"/>
    <w:rsid w:val="008940E3"/>
    <w:rsid w:val="0089413F"/>
    <w:rsid w:val="00894988"/>
    <w:rsid w:val="008951B1"/>
    <w:rsid w:val="0089587A"/>
    <w:rsid w:val="00896968"/>
    <w:rsid w:val="00897305"/>
    <w:rsid w:val="00897D59"/>
    <w:rsid w:val="008A0054"/>
    <w:rsid w:val="008A008C"/>
    <w:rsid w:val="008A05D4"/>
    <w:rsid w:val="008A1067"/>
    <w:rsid w:val="008A1650"/>
    <w:rsid w:val="008A1DF5"/>
    <w:rsid w:val="008A2406"/>
    <w:rsid w:val="008A257E"/>
    <w:rsid w:val="008A39C0"/>
    <w:rsid w:val="008A3A1C"/>
    <w:rsid w:val="008A4074"/>
    <w:rsid w:val="008A41F9"/>
    <w:rsid w:val="008A4FAE"/>
    <w:rsid w:val="008A5193"/>
    <w:rsid w:val="008A5C17"/>
    <w:rsid w:val="008A620E"/>
    <w:rsid w:val="008A63C5"/>
    <w:rsid w:val="008A6580"/>
    <w:rsid w:val="008A66CA"/>
    <w:rsid w:val="008A6B56"/>
    <w:rsid w:val="008A6DD0"/>
    <w:rsid w:val="008A70F4"/>
    <w:rsid w:val="008A79AD"/>
    <w:rsid w:val="008A7FC3"/>
    <w:rsid w:val="008B008F"/>
    <w:rsid w:val="008B301D"/>
    <w:rsid w:val="008B3126"/>
    <w:rsid w:val="008B3ADA"/>
    <w:rsid w:val="008B3DEF"/>
    <w:rsid w:val="008B40DB"/>
    <w:rsid w:val="008B4572"/>
    <w:rsid w:val="008B65D6"/>
    <w:rsid w:val="008B768E"/>
    <w:rsid w:val="008B7B96"/>
    <w:rsid w:val="008B7FDB"/>
    <w:rsid w:val="008C0918"/>
    <w:rsid w:val="008C1217"/>
    <w:rsid w:val="008C142E"/>
    <w:rsid w:val="008C1865"/>
    <w:rsid w:val="008C1FC8"/>
    <w:rsid w:val="008C1FED"/>
    <w:rsid w:val="008C1FF0"/>
    <w:rsid w:val="008C3195"/>
    <w:rsid w:val="008C3A6A"/>
    <w:rsid w:val="008C4968"/>
    <w:rsid w:val="008C5239"/>
    <w:rsid w:val="008C640C"/>
    <w:rsid w:val="008C7BA2"/>
    <w:rsid w:val="008D0A52"/>
    <w:rsid w:val="008D0D48"/>
    <w:rsid w:val="008D170E"/>
    <w:rsid w:val="008D19F7"/>
    <w:rsid w:val="008D1C96"/>
    <w:rsid w:val="008D2BFB"/>
    <w:rsid w:val="008D33F3"/>
    <w:rsid w:val="008D431A"/>
    <w:rsid w:val="008D4FF5"/>
    <w:rsid w:val="008D5288"/>
    <w:rsid w:val="008D54AE"/>
    <w:rsid w:val="008D645C"/>
    <w:rsid w:val="008D6630"/>
    <w:rsid w:val="008D6D07"/>
    <w:rsid w:val="008D73F3"/>
    <w:rsid w:val="008D7DD8"/>
    <w:rsid w:val="008D7E8A"/>
    <w:rsid w:val="008D7EEF"/>
    <w:rsid w:val="008E062B"/>
    <w:rsid w:val="008E095A"/>
    <w:rsid w:val="008E0E3C"/>
    <w:rsid w:val="008E13CD"/>
    <w:rsid w:val="008E16DA"/>
    <w:rsid w:val="008E18B9"/>
    <w:rsid w:val="008E1B01"/>
    <w:rsid w:val="008E1CAD"/>
    <w:rsid w:val="008E1D5C"/>
    <w:rsid w:val="008E28C5"/>
    <w:rsid w:val="008E28EC"/>
    <w:rsid w:val="008E3436"/>
    <w:rsid w:val="008E415D"/>
    <w:rsid w:val="008E49C8"/>
    <w:rsid w:val="008E4CE3"/>
    <w:rsid w:val="008E4D65"/>
    <w:rsid w:val="008E5686"/>
    <w:rsid w:val="008E590B"/>
    <w:rsid w:val="008E665C"/>
    <w:rsid w:val="008E6A04"/>
    <w:rsid w:val="008E6CDC"/>
    <w:rsid w:val="008E7630"/>
    <w:rsid w:val="008F0480"/>
    <w:rsid w:val="008F0BEF"/>
    <w:rsid w:val="008F1090"/>
    <w:rsid w:val="008F11A2"/>
    <w:rsid w:val="008F1B13"/>
    <w:rsid w:val="008F20B0"/>
    <w:rsid w:val="008F21F1"/>
    <w:rsid w:val="008F24BC"/>
    <w:rsid w:val="008F2595"/>
    <w:rsid w:val="008F2B89"/>
    <w:rsid w:val="008F2BF9"/>
    <w:rsid w:val="008F3C4C"/>
    <w:rsid w:val="008F4FDE"/>
    <w:rsid w:val="008F50EC"/>
    <w:rsid w:val="008F6553"/>
    <w:rsid w:val="008F6952"/>
    <w:rsid w:val="008F6B64"/>
    <w:rsid w:val="008F6D5A"/>
    <w:rsid w:val="008F785D"/>
    <w:rsid w:val="00900786"/>
    <w:rsid w:val="009019A6"/>
    <w:rsid w:val="0090226C"/>
    <w:rsid w:val="00902282"/>
    <w:rsid w:val="00902D24"/>
    <w:rsid w:val="009030E1"/>
    <w:rsid w:val="009048A2"/>
    <w:rsid w:val="00904ACC"/>
    <w:rsid w:val="00904BCD"/>
    <w:rsid w:val="00904EEB"/>
    <w:rsid w:val="00905833"/>
    <w:rsid w:val="00905BCB"/>
    <w:rsid w:val="00906F0F"/>
    <w:rsid w:val="009076F5"/>
    <w:rsid w:val="009104C7"/>
    <w:rsid w:val="00910D68"/>
    <w:rsid w:val="00910E9E"/>
    <w:rsid w:val="00910FF1"/>
    <w:rsid w:val="00911118"/>
    <w:rsid w:val="009111D3"/>
    <w:rsid w:val="00912711"/>
    <w:rsid w:val="00912FC2"/>
    <w:rsid w:val="00913678"/>
    <w:rsid w:val="00913949"/>
    <w:rsid w:val="00913D39"/>
    <w:rsid w:val="00913D6E"/>
    <w:rsid w:val="00914556"/>
    <w:rsid w:val="00915017"/>
    <w:rsid w:val="00915069"/>
    <w:rsid w:val="0091527D"/>
    <w:rsid w:val="009155E6"/>
    <w:rsid w:val="00915816"/>
    <w:rsid w:val="00915AC2"/>
    <w:rsid w:val="009168A5"/>
    <w:rsid w:val="00916BCB"/>
    <w:rsid w:val="00917297"/>
    <w:rsid w:val="009173F0"/>
    <w:rsid w:val="009214B4"/>
    <w:rsid w:val="009227F1"/>
    <w:rsid w:val="00922C50"/>
    <w:rsid w:val="00923078"/>
    <w:rsid w:val="009232E0"/>
    <w:rsid w:val="009235E5"/>
    <w:rsid w:val="00925232"/>
    <w:rsid w:val="00925453"/>
    <w:rsid w:val="009256AC"/>
    <w:rsid w:val="00925DB7"/>
    <w:rsid w:val="0092626A"/>
    <w:rsid w:val="00926771"/>
    <w:rsid w:val="00926B0F"/>
    <w:rsid w:val="00926C84"/>
    <w:rsid w:val="00927057"/>
    <w:rsid w:val="00927254"/>
    <w:rsid w:val="00927282"/>
    <w:rsid w:val="00930105"/>
    <w:rsid w:val="009309CF"/>
    <w:rsid w:val="00930AA5"/>
    <w:rsid w:val="00930C61"/>
    <w:rsid w:val="00930D46"/>
    <w:rsid w:val="00931671"/>
    <w:rsid w:val="00931849"/>
    <w:rsid w:val="00931B29"/>
    <w:rsid w:val="00931D0C"/>
    <w:rsid w:val="0093291D"/>
    <w:rsid w:val="00932949"/>
    <w:rsid w:val="00932E01"/>
    <w:rsid w:val="00935190"/>
    <w:rsid w:val="00935241"/>
    <w:rsid w:val="00935352"/>
    <w:rsid w:val="00935A14"/>
    <w:rsid w:val="0093666C"/>
    <w:rsid w:val="00937021"/>
    <w:rsid w:val="009373A2"/>
    <w:rsid w:val="009376B0"/>
    <w:rsid w:val="009377C0"/>
    <w:rsid w:val="00940950"/>
    <w:rsid w:val="009409B2"/>
    <w:rsid w:val="00940F10"/>
    <w:rsid w:val="009415D2"/>
    <w:rsid w:val="0094162A"/>
    <w:rsid w:val="009417C1"/>
    <w:rsid w:val="00942CB3"/>
    <w:rsid w:val="009433D1"/>
    <w:rsid w:val="00944606"/>
    <w:rsid w:val="00944879"/>
    <w:rsid w:val="00944D34"/>
    <w:rsid w:val="00944E38"/>
    <w:rsid w:val="009451AB"/>
    <w:rsid w:val="00945C65"/>
    <w:rsid w:val="00946105"/>
    <w:rsid w:val="00946C5D"/>
    <w:rsid w:val="00946D76"/>
    <w:rsid w:val="00947692"/>
    <w:rsid w:val="00950F7D"/>
    <w:rsid w:val="00952526"/>
    <w:rsid w:val="00953365"/>
    <w:rsid w:val="009533FD"/>
    <w:rsid w:val="00953513"/>
    <w:rsid w:val="00953BC9"/>
    <w:rsid w:val="00953EBB"/>
    <w:rsid w:val="0095455D"/>
    <w:rsid w:val="009549FE"/>
    <w:rsid w:val="00954E23"/>
    <w:rsid w:val="00954F72"/>
    <w:rsid w:val="00955033"/>
    <w:rsid w:val="00955458"/>
    <w:rsid w:val="009558D0"/>
    <w:rsid w:val="009559D7"/>
    <w:rsid w:val="00955CC4"/>
    <w:rsid w:val="00955FD5"/>
    <w:rsid w:val="009569FE"/>
    <w:rsid w:val="00956D33"/>
    <w:rsid w:val="00957624"/>
    <w:rsid w:val="00960116"/>
    <w:rsid w:val="00960A14"/>
    <w:rsid w:val="00961B44"/>
    <w:rsid w:val="00962F12"/>
    <w:rsid w:val="00963294"/>
    <w:rsid w:val="00963295"/>
    <w:rsid w:val="00963F26"/>
    <w:rsid w:val="0096406F"/>
    <w:rsid w:val="0096432E"/>
    <w:rsid w:val="00965129"/>
    <w:rsid w:val="009651CC"/>
    <w:rsid w:val="00965A6C"/>
    <w:rsid w:val="00965D88"/>
    <w:rsid w:val="00967C9C"/>
    <w:rsid w:val="00970427"/>
    <w:rsid w:val="00970DC8"/>
    <w:rsid w:val="00971127"/>
    <w:rsid w:val="00971177"/>
    <w:rsid w:val="00971666"/>
    <w:rsid w:val="00971CCA"/>
    <w:rsid w:val="00972087"/>
    <w:rsid w:val="009725A4"/>
    <w:rsid w:val="00972733"/>
    <w:rsid w:val="00972833"/>
    <w:rsid w:val="00973135"/>
    <w:rsid w:val="009737CD"/>
    <w:rsid w:val="0097415B"/>
    <w:rsid w:val="009745EF"/>
    <w:rsid w:val="009749B1"/>
    <w:rsid w:val="00974A45"/>
    <w:rsid w:val="00974C7D"/>
    <w:rsid w:val="00974EF9"/>
    <w:rsid w:val="00975372"/>
    <w:rsid w:val="00975E4A"/>
    <w:rsid w:val="009760D6"/>
    <w:rsid w:val="00976A61"/>
    <w:rsid w:val="00976C70"/>
    <w:rsid w:val="00976E00"/>
    <w:rsid w:val="009772C0"/>
    <w:rsid w:val="0097794C"/>
    <w:rsid w:val="00980115"/>
    <w:rsid w:val="00980268"/>
    <w:rsid w:val="00980321"/>
    <w:rsid w:val="0098126A"/>
    <w:rsid w:val="009817E3"/>
    <w:rsid w:val="00983152"/>
    <w:rsid w:val="00983BF9"/>
    <w:rsid w:val="00983D2B"/>
    <w:rsid w:val="009858FC"/>
    <w:rsid w:val="009863E7"/>
    <w:rsid w:val="00986728"/>
    <w:rsid w:val="00986885"/>
    <w:rsid w:val="00986B22"/>
    <w:rsid w:val="00986B98"/>
    <w:rsid w:val="0098735C"/>
    <w:rsid w:val="009874F5"/>
    <w:rsid w:val="00987AE5"/>
    <w:rsid w:val="00987B4B"/>
    <w:rsid w:val="00990193"/>
    <w:rsid w:val="0099044B"/>
    <w:rsid w:val="0099122A"/>
    <w:rsid w:val="0099129D"/>
    <w:rsid w:val="00991CE0"/>
    <w:rsid w:val="00992A0A"/>
    <w:rsid w:val="00992F5D"/>
    <w:rsid w:val="009936CB"/>
    <w:rsid w:val="009938F1"/>
    <w:rsid w:val="00993A84"/>
    <w:rsid w:val="00993F5B"/>
    <w:rsid w:val="00993F6F"/>
    <w:rsid w:val="00994C22"/>
    <w:rsid w:val="00995769"/>
    <w:rsid w:val="0099657C"/>
    <w:rsid w:val="00996A4C"/>
    <w:rsid w:val="00996B9C"/>
    <w:rsid w:val="00996CE2"/>
    <w:rsid w:val="009977A7"/>
    <w:rsid w:val="00997EBD"/>
    <w:rsid w:val="00997F14"/>
    <w:rsid w:val="009A094E"/>
    <w:rsid w:val="009A09E7"/>
    <w:rsid w:val="009A0BE3"/>
    <w:rsid w:val="009A1155"/>
    <w:rsid w:val="009A220A"/>
    <w:rsid w:val="009A26C7"/>
    <w:rsid w:val="009A2919"/>
    <w:rsid w:val="009A29F4"/>
    <w:rsid w:val="009A32CE"/>
    <w:rsid w:val="009A34C5"/>
    <w:rsid w:val="009A3943"/>
    <w:rsid w:val="009A3D7B"/>
    <w:rsid w:val="009A3D82"/>
    <w:rsid w:val="009A3E9C"/>
    <w:rsid w:val="009A40F4"/>
    <w:rsid w:val="009A431B"/>
    <w:rsid w:val="009A491E"/>
    <w:rsid w:val="009A4BDE"/>
    <w:rsid w:val="009A4C65"/>
    <w:rsid w:val="009A547E"/>
    <w:rsid w:val="009A5ACE"/>
    <w:rsid w:val="009A6EBC"/>
    <w:rsid w:val="009A7114"/>
    <w:rsid w:val="009A7277"/>
    <w:rsid w:val="009A785A"/>
    <w:rsid w:val="009A7D1E"/>
    <w:rsid w:val="009A7FDE"/>
    <w:rsid w:val="009B0A4A"/>
    <w:rsid w:val="009B1052"/>
    <w:rsid w:val="009B145B"/>
    <w:rsid w:val="009B2717"/>
    <w:rsid w:val="009B31C2"/>
    <w:rsid w:val="009B3267"/>
    <w:rsid w:val="009B36F6"/>
    <w:rsid w:val="009B4106"/>
    <w:rsid w:val="009B44AB"/>
    <w:rsid w:val="009B467E"/>
    <w:rsid w:val="009B4868"/>
    <w:rsid w:val="009B523D"/>
    <w:rsid w:val="009B5438"/>
    <w:rsid w:val="009B61BC"/>
    <w:rsid w:val="009B72E2"/>
    <w:rsid w:val="009B7365"/>
    <w:rsid w:val="009B74D3"/>
    <w:rsid w:val="009B75D6"/>
    <w:rsid w:val="009B75F5"/>
    <w:rsid w:val="009B7918"/>
    <w:rsid w:val="009B7925"/>
    <w:rsid w:val="009B7E52"/>
    <w:rsid w:val="009C04A9"/>
    <w:rsid w:val="009C06F9"/>
    <w:rsid w:val="009C0D2D"/>
    <w:rsid w:val="009C32C6"/>
    <w:rsid w:val="009C3C3E"/>
    <w:rsid w:val="009C548A"/>
    <w:rsid w:val="009C5858"/>
    <w:rsid w:val="009C5DCC"/>
    <w:rsid w:val="009C6225"/>
    <w:rsid w:val="009C7283"/>
    <w:rsid w:val="009D078C"/>
    <w:rsid w:val="009D083F"/>
    <w:rsid w:val="009D1735"/>
    <w:rsid w:val="009D1E4B"/>
    <w:rsid w:val="009D2889"/>
    <w:rsid w:val="009D290A"/>
    <w:rsid w:val="009D3007"/>
    <w:rsid w:val="009D3310"/>
    <w:rsid w:val="009D3541"/>
    <w:rsid w:val="009D355D"/>
    <w:rsid w:val="009D37F7"/>
    <w:rsid w:val="009D4799"/>
    <w:rsid w:val="009D4E47"/>
    <w:rsid w:val="009D54B6"/>
    <w:rsid w:val="009D55CE"/>
    <w:rsid w:val="009D5E69"/>
    <w:rsid w:val="009D6A25"/>
    <w:rsid w:val="009D7000"/>
    <w:rsid w:val="009D75C7"/>
    <w:rsid w:val="009D79BF"/>
    <w:rsid w:val="009E0AEE"/>
    <w:rsid w:val="009E0DDD"/>
    <w:rsid w:val="009E0FE1"/>
    <w:rsid w:val="009E2004"/>
    <w:rsid w:val="009E2503"/>
    <w:rsid w:val="009E27D2"/>
    <w:rsid w:val="009E280E"/>
    <w:rsid w:val="009E3271"/>
    <w:rsid w:val="009E3756"/>
    <w:rsid w:val="009E3DA4"/>
    <w:rsid w:val="009E44C5"/>
    <w:rsid w:val="009E4DA7"/>
    <w:rsid w:val="009E58E0"/>
    <w:rsid w:val="009E66B2"/>
    <w:rsid w:val="009E6862"/>
    <w:rsid w:val="009E687E"/>
    <w:rsid w:val="009E6EED"/>
    <w:rsid w:val="009E7665"/>
    <w:rsid w:val="009E7A26"/>
    <w:rsid w:val="009E7E0F"/>
    <w:rsid w:val="009F0183"/>
    <w:rsid w:val="009F01AC"/>
    <w:rsid w:val="009F0B8C"/>
    <w:rsid w:val="009F2497"/>
    <w:rsid w:val="009F3223"/>
    <w:rsid w:val="009F3369"/>
    <w:rsid w:val="009F341A"/>
    <w:rsid w:val="009F399B"/>
    <w:rsid w:val="009F47A0"/>
    <w:rsid w:val="009F54AF"/>
    <w:rsid w:val="009F5CFC"/>
    <w:rsid w:val="009F6347"/>
    <w:rsid w:val="009F73C7"/>
    <w:rsid w:val="009F73F2"/>
    <w:rsid w:val="009F7D94"/>
    <w:rsid w:val="00A00D06"/>
    <w:rsid w:val="00A02647"/>
    <w:rsid w:val="00A03997"/>
    <w:rsid w:val="00A0485A"/>
    <w:rsid w:val="00A04DCC"/>
    <w:rsid w:val="00A04F65"/>
    <w:rsid w:val="00A05D88"/>
    <w:rsid w:val="00A06AC4"/>
    <w:rsid w:val="00A06BFF"/>
    <w:rsid w:val="00A06DE6"/>
    <w:rsid w:val="00A079DD"/>
    <w:rsid w:val="00A110EC"/>
    <w:rsid w:val="00A12860"/>
    <w:rsid w:val="00A12BE8"/>
    <w:rsid w:val="00A138E1"/>
    <w:rsid w:val="00A13901"/>
    <w:rsid w:val="00A13923"/>
    <w:rsid w:val="00A1423E"/>
    <w:rsid w:val="00A143A3"/>
    <w:rsid w:val="00A143E8"/>
    <w:rsid w:val="00A14BEF"/>
    <w:rsid w:val="00A14EF7"/>
    <w:rsid w:val="00A14F3E"/>
    <w:rsid w:val="00A1532D"/>
    <w:rsid w:val="00A1595F"/>
    <w:rsid w:val="00A15AC2"/>
    <w:rsid w:val="00A15AED"/>
    <w:rsid w:val="00A1673D"/>
    <w:rsid w:val="00A16F2A"/>
    <w:rsid w:val="00A16F34"/>
    <w:rsid w:val="00A20A94"/>
    <w:rsid w:val="00A20A9A"/>
    <w:rsid w:val="00A2189D"/>
    <w:rsid w:val="00A218B6"/>
    <w:rsid w:val="00A219DB"/>
    <w:rsid w:val="00A23242"/>
    <w:rsid w:val="00A2337F"/>
    <w:rsid w:val="00A233E7"/>
    <w:rsid w:val="00A2374C"/>
    <w:rsid w:val="00A239A9"/>
    <w:rsid w:val="00A23EC3"/>
    <w:rsid w:val="00A2481A"/>
    <w:rsid w:val="00A25501"/>
    <w:rsid w:val="00A25A48"/>
    <w:rsid w:val="00A26216"/>
    <w:rsid w:val="00A268DA"/>
    <w:rsid w:val="00A30168"/>
    <w:rsid w:val="00A3046E"/>
    <w:rsid w:val="00A31252"/>
    <w:rsid w:val="00A319B9"/>
    <w:rsid w:val="00A32D2C"/>
    <w:rsid w:val="00A36E01"/>
    <w:rsid w:val="00A37FC8"/>
    <w:rsid w:val="00A401BF"/>
    <w:rsid w:val="00A40888"/>
    <w:rsid w:val="00A412AD"/>
    <w:rsid w:val="00A420EC"/>
    <w:rsid w:val="00A432A6"/>
    <w:rsid w:val="00A45B2D"/>
    <w:rsid w:val="00A45B73"/>
    <w:rsid w:val="00A465D8"/>
    <w:rsid w:val="00A46C16"/>
    <w:rsid w:val="00A47013"/>
    <w:rsid w:val="00A47356"/>
    <w:rsid w:val="00A479D1"/>
    <w:rsid w:val="00A50612"/>
    <w:rsid w:val="00A50C71"/>
    <w:rsid w:val="00A51120"/>
    <w:rsid w:val="00A51245"/>
    <w:rsid w:val="00A5164A"/>
    <w:rsid w:val="00A518BB"/>
    <w:rsid w:val="00A51ED8"/>
    <w:rsid w:val="00A52309"/>
    <w:rsid w:val="00A529BC"/>
    <w:rsid w:val="00A531F6"/>
    <w:rsid w:val="00A539A5"/>
    <w:rsid w:val="00A5433E"/>
    <w:rsid w:val="00A54751"/>
    <w:rsid w:val="00A54E72"/>
    <w:rsid w:val="00A557C7"/>
    <w:rsid w:val="00A55C43"/>
    <w:rsid w:val="00A568F3"/>
    <w:rsid w:val="00A56F02"/>
    <w:rsid w:val="00A57200"/>
    <w:rsid w:val="00A57576"/>
    <w:rsid w:val="00A575D1"/>
    <w:rsid w:val="00A57EE6"/>
    <w:rsid w:val="00A601B4"/>
    <w:rsid w:val="00A60570"/>
    <w:rsid w:val="00A60A10"/>
    <w:rsid w:val="00A612E3"/>
    <w:rsid w:val="00A61582"/>
    <w:rsid w:val="00A626F0"/>
    <w:rsid w:val="00A62A83"/>
    <w:rsid w:val="00A62BDC"/>
    <w:rsid w:val="00A62F77"/>
    <w:rsid w:val="00A632A3"/>
    <w:rsid w:val="00A638C1"/>
    <w:rsid w:val="00A63FB9"/>
    <w:rsid w:val="00A6400E"/>
    <w:rsid w:val="00A64224"/>
    <w:rsid w:val="00A64534"/>
    <w:rsid w:val="00A646E6"/>
    <w:rsid w:val="00A6475F"/>
    <w:rsid w:val="00A64818"/>
    <w:rsid w:val="00A64866"/>
    <w:rsid w:val="00A64F7B"/>
    <w:rsid w:val="00A650A4"/>
    <w:rsid w:val="00A653F6"/>
    <w:rsid w:val="00A654B3"/>
    <w:rsid w:val="00A6575E"/>
    <w:rsid w:val="00A658F4"/>
    <w:rsid w:val="00A65B8A"/>
    <w:rsid w:val="00A66296"/>
    <w:rsid w:val="00A665B6"/>
    <w:rsid w:val="00A66F41"/>
    <w:rsid w:val="00A6731F"/>
    <w:rsid w:val="00A67998"/>
    <w:rsid w:val="00A713C9"/>
    <w:rsid w:val="00A716BA"/>
    <w:rsid w:val="00A71836"/>
    <w:rsid w:val="00A720DB"/>
    <w:rsid w:val="00A72A3A"/>
    <w:rsid w:val="00A7501A"/>
    <w:rsid w:val="00A757CE"/>
    <w:rsid w:val="00A769D1"/>
    <w:rsid w:val="00A76B70"/>
    <w:rsid w:val="00A77CFF"/>
    <w:rsid w:val="00A80A11"/>
    <w:rsid w:val="00A810DF"/>
    <w:rsid w:val="00A811B6"/>
    <w:rsid w:val="00A816A5"/>
    <w:rsid w:val="00A817E1"/>
    <w:rsid w:val="00A81C32"/>
    <w:rsid w:val="00A8223C"/>
    <w:rsid w:val="00A82C15"/>
    <w:rsid w:val="00A82D2E"/>
    <w:rsid w:val="00A834A2"/>
    <w:rsid w:val="00A835A5"/>
    <w:rsid w:val="00A841FC"/>
    <w:rsid w:val="00A848EE"/>
    <w:rsid w:val="00A854E4"/>
    <w:rsid w:val="00A857D4"/>
    <w:rsid w:val="00A85A9F"/>
    <w:rsid w:val="00A85B19"/>
    <w:rsid w:val="00A85CDE"/>
    <w:rsid w:val="00A869CD"/>
    <w:rsid w:val="00A870BF"/>
    <w:rsid w:val="00A872ED"/>
    <w:rsid w:val="00A87901"/>
    <w:rsid w:val="00A9039C"/>
    <w:rsid w:val="00A9095C"/>
    <w:rsid w:val="00A9099A"/>
    <w:rsid w:val="00A9221E"/>
    <w:rsid w:val="00A92ABB"/>
    <w:rsid w:val="00A92B87"/>
    <w:rsid w:val="00A937E9"/>
    <w:rsid w:val="00A94576"/>
    <w:rsid w:val="00A94934"/>
    <w:rsid w:val="00A94BFB"/>
    <w:rsid w:val="00A94C7A"/>
    <w:rsid w:val="00A95670"/>
    <w:rsid w:val="00A9580C"/>
    <w:rsid w:val="00A958EA"/>
    <w:rsid w:val="00A966E6"/>
    <w:rsid w:val="00A96A44"/>
    <w:rsid w:val="00A96F37"/>
    <w:rsid w:val="00A97A99"/>
    <w:rsid w:val="00AA06D5"/>
    <w:rsid w:val="00AA0B7D"/>
    <w:rsid w:val="00AA0CCE"/>
    <w:rsid w:val="00AA1194"/>
    <w:rsid w:val="00AA13C2"/>
    <w:rsid w:val="00AA1D5A"/>
    <w:rsid w:val="00AA2540"/>
    <w:rsid w:val="00AA29F7"/>
    <w:rsid w:val="00AA2C4D"/>
    <w:rsid w:val="00AA30F9"/>
    <w:rsid w:val="00AA33A9"/>
    <w:rsid w:val="00AA4154"/>
    <w:rsid w:val="00AA422E"/>
    <w:rsid w:val="00AA4A83"/>
    <w:rsid w:val="00AA4B62"/>
    <w:rsid w:val="00AA5F9F"/>
    <w:rsid w:val="00AA61B2"/>
    <w:rsid w:val="00AA6A48"/>
    <w:rsid w:val="00AA7DC4"/>
    <w:rsid w:val="00AA7E1A"/>
    <w:rsid w:val="00AB025F"/>
    <w:rsid w:val="00AB0289"/>
    <w:rsid w:val="00AB05EF"/>
    <w:rsid w:val="00AB1011"/>
    <w:rsid w:val="00AB1DBC"/>
    <w:rsid w:val="00AB2205"/>
    <w:rsid w:val="00AB25BC"/>
    <w:rsid w:val="00AB3180"/>
    <w:rsid w:val="00AB33DD"/>
    <w:rsid w:val="00AB394D"/>
    <w:rsid w:val="00AB505D"/>
    <w:rsid w:val="00AB50FB"/>
    <w:rsid w:val="00AB5BFE"/>
    <w:rsid w:val="00AB6042"/>
    <w:rsid w:val="00AB6119"/>
    <w:rsid w:val="00AB6631"/>
    <w:rsid w:val="00AB680D"/>
    <w:rsid w:val="00AB698A"/>
    <w:rsid w:val="00AB6A49"/>
    <w:rsid w:val="00AB6C87"/>
    <w:rsid w:val="00AB6EBE"/>
    <w:rsid w:val="00AB6FD9"/>
    <w:rsid w:val="00AB727D"/>
    <w:rsid w:val="00AB758C"/>
    <w:rsid w:val="00AB7B73"/>
    <w:rsid w:val="00AB7E1C"/>
    <w:rsid w:val="00AC076C"/>
    <w:rsid w:val="00AC08E5"/>
    <w:rsid w:val="00AC0993"/>
    <w:rsid w:val="00AC0B17"/>
    <w:rsid w:val="00AC0CFA"/>
    <w:rsid w:val="00AC13E4"/>
    <w:rsid w:val="00AC1EAB"/>
    <w:rsid w:val="00AC3242"/>
    <w:rsid w:val="00AC3538"/>
    <w:rsid w:val="00AC3A2C"/>
    <w:rsid w:val="00AC3ACB"/>
    <w:rsid w:val="00AC481E"/>
    <w:rsid w:val="00AC4B3B"/>
    <w:rsid w:val="00AC50D7"/>
    <w:rsid w:val="00AC5116"/>
    <w:rsid w:val="00AC58F7"/>
    <w:rsid w:val="00AC597D"/>
    <w:rsid w:val="00AC68A6"/>
    <w:rsid w:val="00AC6904"/>
    <w:rsid w:val="00AC70C5"/>
    <w:rsid w:val="00AD07E6"/>
    <w:rsid w:val="00AD0853"/>
    <w:rsid w:val="00AD14B9"/>
    <w:rsid w:val="00AD1BA8"/>
    <w:rsid w:val="00AD35E2"/>
    <w:rsid w:val="00AD3992"/>
    <w:rsid w:val="00AD3DAD"/>
    <w:rsid w:val="00AD4061"/>
    <w:rsid w:val="00AD468C"/>
    <w:rsid w:val="00AD4A6C"/>
    <w:rsid w:val="00AD4BF0"/>
    <w:rsid w:val="00AD4C4B"/>
    <w:rsid w:val="00AD56EA"/>
    <w:rsid w:val="00AD58BE"/>
    <w:rsid w:val="00AD7190"/>
    <w:rsid w:val="00AD7397"/>
    <w:rsid w:val="00AD7B56"/>
    <w:rsid w:val="00AE0086"/>
    <w:rsid w:val="00AE0370"/>
    <w:rsid w:val="00AE082B"/>
    <w:rsid w:val="00AE0EC8"/>
    <w:rsid w:val="00AE12A2"/>
    <w:rsid w:val="00AE29B6"/>
    <w:rsid w:val="00AE2AFA"/>
    <w:rsid w:val="00AE358B"/>
    <w:rsid w:val="00AE44FE"/>
    <w:rsid w:val="00AE47A4"/>
    <w:rsid w:val="00AE507F"/>
    <w:rsid w:val="00AE523D"/>
    <w:rsid w:val="00AE5418"/>
    <w:rsid w:val="00AE6454"/>
    <w:rsid w:val="00AE688C"/>
    <w:rsid w:val="00AE6F2D"/>
    <w:rsid w:val="00AE74A6"/>
    <w:rsid w:val="00AF0017"/>
    <w:rsid w:val="00AF0492"/>
    <w:rsid w:val="00AF09E4"/>
    <w:rsid w:val="00AF1568"/>
    <w:rsid w:val="00AF2044"/>
    <w:rsid w:val="00AF24C1"/>
    <w:rsid w:val="00AF2782"/>
    <w:rsid w:val="00AF2D3A"/>
    <w:rsid w:val="00AF354F"/>
    <w:rsid w:val="00AF491A"/>
    <w:rsid w:val="00AF4A0C"/>
    <w:rsid w:val="00AF50C0"/>
    <w:rsid w:val="00AF51CE"/>
    <w:rsid w:val="00AF5DAF"/>
    <w:rsid w:val="00AF5FCA"/>
    <w:rsid w:val="00AF62FA"/>
    <w:rsid w:val="00AF6435"/>
    <w:rsid w:val="00AF6C1A"/>
    <w:rsid w:val="00AF6EEB"/>
    <w:rsid w:val="00AF71E3"/>
    <w:rsid w:val="00AF7841"/>
    <w:rsid w:val="00AF787B"/>
    <w:rsid w:val="00AF7902"/>
    <w:rsid w:val="00B033B6"/>
    <w:rsid w:val="00B03A1D"/>
    <w:rsid w:val="00B03ADA"/>
    <w:rsid w:val="00B04266"/>
    <w:rsid w:val="00B0520E"/>
    <w:rsid w:val="00B05ECC"/>
    <w:rsid w:val="00B06432"/>
    <w:rsid w:val="00B06570"/>
    <w:rsid w:val="00B065B6"/>
    <w:rsid w:val="00B066A9"/>
    <w:rsid w:val="00B07C36"/>
    <w:rsid w:val="00B07E50"/>
    <w:rsid w:val="00B100C0"/>
    <w:rsid w:val="00B11EFB"/>
    <w:rsid w:val="00B11FB9"/>
    <w:rsid w:val="00B12732"/>
    <w:rsid w:val="00B135FE"/>
    <w:rsid w:val="00B13E6C"/>
    <w:rsid w:val="00B14012"/>
    <w:rsid w:val="00B14F13"/>
    <w:rsid w:val="00B15111"/>
    <w:rsid w:val="00B151D0"/>
    <w:rsid w:val="00B15914"/>
    <w:rsid w:val="00B15B06"/>
    <w:rsid w:val="00B15BF3"/>
    <w:rsid w:val="00B15C40"/>
    <w:rsid w:val="00B15E4A"/>
    <w:rsid w:val="00B1616E"/>
    <w:rsid w:val="00B163F1"/>
    <w:rsid w:val="00B166F7"/>
    <w:rsid w:val="00B1724B"/>
    <w:rsid w:val="00B17568"/>
    <w:rsid w:val="00B17C54"/>
    <w:rsid w:val="00B20D1C"/>
    <w:rsid w:val="00B2158C"/>
    <w:rsid w:val="00B216D1"/>
    <w:rsid w:val="00B22425"/>
    <w:rsid w:val="00B2248C"/>
    <w:rsid w:val="00B22578"/>
    <w:rsid w:val="00B23F01"/>
    <w:rsid w:val="00B24741"/>
    <w:rsid w:val="00B24AAB"/>
    <w:rsid w:val="00B25804"/>
    <w:rsid w:val="00B26878"/>
    <w:rsid w:val="00B2693B"/>
    <w:rsid w:val="00B26F31"/>
    <w:rsid w:val="00B27A9C"/>
    <w:rsid w:val="00B30BC6"/>
    <w:rsid w:val="00B30F87"/>
    <w:rsid w:val="00B31CA4"/>
    <w:rsid w:val="00B326EE"/>
    <w:rsid w:val="00B3296C"/>
    <w:rsid w:val="00B32B1D"/>
    <w:rsid w:val="00B32E6A"/>
    <w:rsid w:val="00B334E9"/>
    <w:rsid w:val="00B33B7C"/>
    <w:rsid w:val="00B34E91"/>
    <w:rsid w:val="00B35AB8"/>
    <w:rsid w:val="00B3621E"/>
    <w:rsid w:val="00B3675E"/>
    <w:rsid w:val="00B37278"/>
    <w:rsid w:val="00B4061D"/>
    <w:rsid w:val="00B40861"/>
    <w:rsid w:val="00B40C38"/>
    <w:rsid w:val="00B41362"/>
    <w:rsid w:val="00B420CA"/>
    <w:rsid w:val="00B425FD"/>
    <w:rsid w:val="00B4291A"/>
    <w:rsid w:val="00B43F3A"/>
    <w:rsid w:val="00B43FA3"/>
    <w:rsid w:val="00B44168"/>
    <w:rsid w:val="00B44554"/>
    <w:rsid w:val="00B45B1A"/>
    <w:rsid w:val="00B45C9F"/>
    <w:rsid w:val="00B45F8F"/>
    <w:rsid w:val="00B461B6"/>
    <w:rsid w:val="00B4624F"/>
    <w:rsid w:val="00B475C7"/>
    <w:rsid w:val="00B477D3"/>
    <w:rsid w:val="00B47B95"/>
    <w:rsid w:val="00B47EAA"/>
    <w:rsid w:val="00B50400"/>
    <w:rsid w:val="00B50EE5"/>
    <w:rsid w:val="00B519D8"/>
    <w:rsid w:val="00B522BB"/>
    <w:rsid w:val="00B524E2"/>
    <w:rsid w:val="00B5256E"/>
    <w:rsid w:val="00B53DEB"/>
    <w:rsid w:val="00B54571"/>
    <w:rsid w:val="00B54D30"/>
    <w:rsid w:val="00B57098"/>
    <w:rsid w:val="00B579AB"/>
    <w:rsid w:val="00B57C03"/>
    <w:rsid w:val="00B57D09"/>
    <w:rsid w:val="00B60BAC"/>
    <w:rsid w:val="00B61045"/>
    <w:rsid w:val="00B61249"/>
    <w:rsid w:val="00B61425"/>
    <w:rsid w:val="00B616FC"/>
    <w:rsid w:val="00B61904"/>
    <w:rsid w:val="00B62420"/>
    <w:rsid w:val="00B629F3"/>
    <w:rsid w:val="00B63237"/>
    <w:rsid w:val="00B64087"/>
    <w:rsid w:val="00B65E98"/>
    <w:rsid w:val="00B662A0"/>
    <w:rsid w:val="00B6639C"/>
    <w:rsid w:val="00B66B70"/>
    <w:rsid w:val="00B67C36"/>
    <w:rsid w:val="00B67EF4"/>
    <w:rsid w:val="00B67F32"/>
    <w:rsid w:val="00B701E3"/>
    <w:rsid w:val="00B70B58"/>
    <w:rsid w:val="00B718E9"/>
    <w:rsid w:val="00B71F61"/>
    <w:rsid w:val="00B72F81"/>
    <w:rsid w:val="00B73174"/>
    <w:rsid w:val="00B73718"/>
    <w:rsid w:val="00B73CCB"/>
    <w:rsid w:val="00B7409D"/>
    <w:rsid w:val="00B75042"/>
    <w:rsid w:val="00B7507E"/>
    <w:rsid w:val="00B755FC"/>
    <w:rsid w:val="00B75C99"/>
    <w:rsid w:val="00B76588"/>
    <w:rsid w:val="00B767DB"/>
    <w:rsid w:val="00B81E32"/>
    <w:rsid w:val="00B81F06"/>
    <w:rsid w:val="00B82C62"/>
    <w:rsid w:val="00B82F9D"/>
    <w:rsid w:val="00B835A7"/>
    <w:rsid w:val="00B83BC0"/>
    <w:rsid w:val="00B83FDE"/>
    <w:rsid w:val="00B8572F"/>
    <w:rsid w:val="00B860BC"/>
    <w:rsid w:val="00B8675F"/>
    <w:rsid w:val="00B86AA2"/>
    <w:rsid w:val="00B86AAC"/>
    <w:rsid w:val="00B86B54"/>
    <w:rsid w:val="00B87027"/>
    <w:rsid w:val="00B87203"/>
    <w:rsid w:val="00B8721E"/>
    <w:rsid w:val="00B9092C"/>
    <w:rsid w:val="00B90A64"/>
    <w:rsid w:val="00B90EF4"/>
    <w:rsid w:val="00B91259"/>
    <w:rsid w:val="00B91A4C"/>
    <w:rsid w:val="00B91A8F"/>
    <w:rsid w:val="00B9205B"/>
    <w:rsid w:val="00B92090"/>
    <w:rsid w:val="00B9210A"/>
    <w:rsid w:val="00B92EFE"/>
    <w:rsid w:val="00B92F06"/>
    <w:rsid w:val="00B93897"/>
    <w:rsid w:val="00B93D61"/>
    <w:rsid w:val="00B9437A"/>
    <w:rsid w:val="00B94902"/>
    <w:rsid w:val="00B94B50"/>
    <w:rsid w:val="00B94F60"/>
    <w:rsid w:val="00B957FB"/>
    <w:rsid w:val="00B95C3A"/>
    <w:rsid w:val="00B95FAF"/>
    <w:rsid w:val="00B966D0"/>
    <w:rsid w:val="00B96BAC"/>
    <w:rsid w:val="00B96F5C"/>
    <w:rsid w:val="00B96F7B"/>
    <w:rsid w:val="00B97783"/>
    <w:rsid w:val="00BA0259"/>
    <w:rsid w:val="00BA158D"/>
    <w:rsid w:val="00BA2F98"/>
    <w:rsid w:val="00BA2FD6"/>
    <w:rsid w:val="00BA3CEB"/>
    <w:rsid w:val="00BA4272"/>
    <w:rsid w:val="00BA49EF"/>
    <w:rsid w:val="00BA5280"/>
    <w:rsid w:val="00BA55D9"/>
    <w:rsid w:val="00BA59E5"/>
    <w:rsid w:val="00BA6481"/>
    <w:rsid w:val="00BA6676"/>
    <w:rsid w:val="00BA672A"/>
    <w:rsid w:val="00BA6789"/>
    <w:rsid w:val="00BA7504"/>
    <w:rsid w:val="00BA7E5C"/>
    <w:rsid w:val="00BB0B36"/>
    <w:rsid w:val="00BB0F03"/>
    <w:rsid w:val="00BB0F58"/>
    <w:rsid w:val="00BB0F79"/>
    <w:rsid w:val="00BB1021"/>
    <w:rsid w:val="00BB19AA"/>
    <w:rsid w:val="00BB1E88"/>
    <w:rsid w:val="00BB203A"/>
    <w:rsid w:val="00BB280F"/>
    <w:rsid w:val="00BB2D56"/>
    <w:rsid w:val="00BB2DA1"/>
    <w:rsid w:val="00BB305B"/>
    <w:rsid w:val="00BB31F3"/>
    <w:rsid w:val="00BB380C"/>
    <w:rsid w:val="00BB3BF0"/>
    <w:rsid w:val="00BB4602"/>
    <w:rsid w:val="00BB54B2"/>
    <w:rsid w:val="00BB5564"/>
    <w:rsid w:val="00BB5872"/>
    <w:rsid w:val="00BB58B1"/>
    <w:rsid w:val="00BB611C"/>
    <w:rsid w:val="00BB61E7"/>
    <w:rsid w:val="00BB7B5B"/>
    <w:rsid w:val="00BB7C86"/>
    <w:rsid w:val="00BB7C94"/>
    <w:rsid w:val="00BB7FAD"/>
    <w:rsid w:val="00BC037D"/>
    <w:rsid w:val="00BC175C"/>
    <w:rsid w:val="00BC1A76"/>
    <w:rsid w:val="00BC1BE0"/>
    <w:rsid w:val="00BC241B"/>
    <w:rsid w:val="00BC24CF"/>
    <w:rsid w:val="00BC2594"/>
    <w:rsid w:val="00BC2811"/>
    <w:rsid w:val="00BC2FC5"/>
    <w:rsid w:val="00BC33F2"/>
    <w:rsid w:val="00BC3A70"/>
    <w:rsid w:val="00BC40D7"/>
    <w:rsid w:val="00BC41CC"/>
    <w:rsid w:val="00BC4413"/>
    <w:rsid w:val="00BC459D"/>
    <w:rsid w:val="00BC4D22"/>
    <w:rsid w:val="00BC508E"/>
    <w:rsid w:val="00BC531D"/>
    <w:rsid w:val="00BC632C"/>
    <w:rsid w:val="00BC6B37"/>
    <w:rsid w:val="00BC75F3"/>
    <w:rsid w:val="00BD01BB"/>
    <w:rsid w:val="00BD0C49"/>
    <w:rsid w:val="00BD14BF"/>
    <w:rsid w:val="00BD14E9"/>
    <w:rsid w:val="00BD15A2"/>
    <w:rsid w:val="00BD195C"/>
    <w:rsid w:val="00BD19BB"/>
    <w:rsid w:val="00BD1B72"/>
    <w:rsid w:val="00BD28F7"/>
    <w:rsid w:val="00BD329F"/>
    <w:rsid w:val="00BD38B4"/>
    <w:rsid w:val="00BD3A51"/>
    <w:rsid w:val="00BD40AB"/>
    <w:rsid w:val="00BD4DF6"/>
    <w:rsid w:val="00BD5162"/>
    <w:rsid w:val="00BD537C"/>
    <w:rsid w:val="00BD53DD"/>
    <w:rsid w:val="00BD5ED3"/>
    <w:rsid w:val="00BD5EE3"/>
    <w:rsid w:val="00BD60D6"/>
    <w:rsid w:val="00BD6A4E"/>
    <w:rsid w:val="00BD7154"/>
    <w:rsid w:val="00BD76B8"/>
    <w:rsid w:val="00BD7E86"/>
    <w:rsid w:val="00BE0AFA"/>
    <w:rsid w:val="00BE1221"/>
    <w:rsid w:val="00BE16FC"/>
    <w:rsid w:val="00BE1B93"/>
    <w:rsid w:val="00BE1BBF"/>
    <w:rsid w:val="00BE1CE2"/>
    <w:rsid w:val="00BE22EB"/>
    <w:rsid w:val="00BE2486"/>
    <w:rsid w:val="00BE2868"/>
    <w:rsid w:val="00BE294B"/>
    <w:rsid w:val="00BE2C28"/>
    <w:rsid w:val="00BE332C"/>
    <w:rsid w:val="00BE3D56"/>
    <w:rsid w:val="00BE7BF2"/>
    <w:rsid w:val="00BE7C56"/>
    <w:rsid w:val="00BF0DB1"/>
    <w:rsid w:val="00BF0F73"/>
    <w:rsid w:val="00BF1FC7"/>
    <w:rsid w:val="00BF2CE3"/>
    <w:rsid w:val="00BF2E27"/>
    <w:rsid w:val="00BF2FF9"/>
    <w:rsid w:val="00BF31A5"/>
    <w:rsid w:val="00BF336E"/>
    <w:rsid w:val="00BF47A6"/>
    <w:rsid w:val="00BF4CD2"/>
    <w:rsid w:val="00BF555C"/>
    <w:rsid w:val="00BF6955"/>
    <w:rsid w:val="00BF698F"/>
    <w:rsid w:val="00BF6D53"/>
    <w:rsid w:val="00BF70A7"/>
    <w:rsid w:val="00BF70B9"/>
    <w:rsid w:val="00BF7FB9"/>
    <w:rsid w:val="00C00307"/>
    <w:rsid w:val="00C00AD5"/>
    <w:rsid w:val="00C01089"/>
    <w:rsid w:val="00C019DC"/>
    <w:rsid w:val="00C02024"/>
    <w:rsid w:val="00C021D0"/>
    <w:rsid w:val="00C04CF3"/>
    <w:rsid w:val="00C051C6"/>
    <w:rsid w:val="00C057DA"/>
    <w:rsid w:val="00C05B62"/>
    <w:rsid w:val="00C05E82"/>
    <w:rsid w:val="00C063E0"/>
    <w:rsid w:val="00C0670D"/>
    <w:rsid w:val="00C06A22"/>
    <w:rsid w:val="00C06B1E"/>
    <w:rsid w:val="00C0783B"/>
    <w:rsid w:val="00C07B67"/>
    <w:rsid w:val="00C07F64"/>
    <w:rsid w:val="00C10324"/>
    <w:rsid w:val="00C10868"/>
    <w:rsid w:val="00C10D81"/>
    <w:rsid w:val="00C10EBA"/>
    <w:rsid w:val="00C111C3"/>
    <w:rsid w:val="00C12431"/>
    <w:rsid w:val="00C1402D"/>
    <w:rsid w:val="00C1449C"/>
    <w:rsid w:val="00C145B9"/>
    <w:rsid w:val="00C14F56"/>
    <w:rsid w:val="00C16343"/>
    <w:rsid w:val="00C16F19"/>
    <w:rsid w:val="00C207D6"/>
    <w:rsid w:val="00C21462"/>
    <w:rsid w:val="00C22C09"/>
    <w:rsid w:val="00C23A3E"/>
    <w:rsid w:val="00C23B59"/>
    <w:rsid w:val="00C23B92"/>
    <w:rsid w:val="00C24144"/>
    <w:rsid w:val="00C24423"/>
    <w:rsid w:val="00C24C46"/>
    <w:rsid w:val="00C24E3F"/>
    <w:rsid w:val="00C25CE5"/>
    <w:rsid w:val="00C264AB"/>
    <w:rsid w:val="00C26AB4"/>
    <w:rsid w:val="00C26CC6"/>
    <w:rsid w:val="00C26E72"/>
    <w:rsid w:val="00C26FE7"/>
    <w:rsid w:val="00C30390"/>
    <w:rsid w:val="00C308F8"/>
    <w:rsid w:val="00C309DD"/>
    <w:rsid w:val="00C311F0"/>
    <w:rsid w:val="00C32213"/>
    <w:rsid w:val="00C3286D"/>
    <w:rsid w:val="00C32E17"/>
    <w:rsid w:val="00C33024"/>
    <w:rsid w:val="00C34272"/>
    <w:rsid w:val="00C3532F"/>
    <w:rsid w:val="00C35EC6"/>
    <w:rsid w:val="00C36265"/>
    <w:rsid w:val="00C365C8"/>
    <w:rsid w:val="00C368EC"/>
    <w:rsid w:val="00C36B8C"/>
    <w:rsid w:val="00C37697"/>
    <w:rsid w:val="00C37F06"/>
    <w:rsid w:val="00C400D4"/>
    <w:rsid w:val="00C40E8B"/>
    <w:rsid w:val="00C41CC2"/>
    <w:rsid w:val="00C427B5"/>
    <w:rsid w:val="00C42ED7"/>
    <w:rsid w:val="00C430D5"/>
    <w:rsid w:val="00C433D7"/>
    <w:rsid w:val="00C43A23"/>
    <w:rsid w:val="00C44012"/>
    <w:rsid w:val="00C440B0"/>
    <w:rsid w:val="00C440BC"/>
    <w:rsid w:val="00C4443E"/>
    <w:rsid w:val="00C44817"/>
    <w:rsid w:val="00C44CB6"/>
    <w:rsid w:val="00C45B64"/>
    <w:rsid w:val="00C45B8E"/>
    <w:rsid w:val="00C45DEE"/>
    <w:rsid w:val="00C47F92"/>
    <w:rsid w:val="00C507DA"/>
    <w:rsid w:val="00C509AF"/>
    <w:rsid w:val="00C50FDC"/>
    <w:rsid w:val="00C51276"/>
    <w:rsid w:val="00C51C19"/>
    <w:rsid w:val="00C51D6B"/>
    <w:rsid w:val="00C5226C"/>
    <w:rsid w:val="00C52612"/>
    <w:rsid w:val="00C5287E"/>
    <w:rsid w:val="00C53628"/>
    <w:rsid w:val="00C53727"/>
    <w:rsid w:val="00C53E33"/>
    <w:rsid w:val="00C55215"/>
    <w:rsid w:val="00C5557F"/>
    <w:rsid w:val="00C55C7C"/>
    <w:rsid w:val="00C55E86"/>
    <w:rsid w:val="00C56282"/>
    <w:rsid w:val="00C569B8"/>
    <w:rsid w:val="00C573A4"/>
    <w:rsid w:val="00C57B07"/>
    <w:rsid w:val="00C57F97"/>
    <w:rsid w:val="00C600F6"/>
    <w:rsid w:val="00C60AC1"/>
    <w:rsid w:val="00C61D7D"/>
    <w:rsid w:val="00C61F26"/>
    <w:rsid w:val="00C61F7B"/>
    <w:rsid w:val="00C62D72"/>
    <w:rsid w:val="00C6301A"/>
    <w:rsid w:val="00C6398F"/>
    <w:rsid w:val="00C646E9"/>
    <w:rsid w:val="00C6539D"/>
    <w:rsid w:val="00C658F3"/>
    <w:rsid w:val="00C65A56"/>
    <w:rsid w:val="00C65BD3"/>
    <w:rsid w:val="00C65DBB"/>
    <w:rsid w:val="00C666F3"/>
    <w:rsid w:val="00C66836"/>
    <w:rsid w:val="00C67925"/>
    <w:rsid w:val="00C70139"/>
    <w:rsid w:val="00C7104D"/>
    <w:rsid w:val="00C72ACE"/>
    <w:rsid w:val="00C730E2"/>
    <w:rsid w:val="00C73EA6"/>
    <w:rsid w:val="00C74261"/>
    <w:rsid w:val="00C746F0"/>
    <w:rsid w:val="00C749D7"/>
    <w:rsid w:val="00C771BC"/>
    <w:rsid w:val="00C775DD"/>
    <w:rsid w:val="00C77CEC"/>
    <w:rsid w:val="00C77D9A"/>
    <w:rsid w:val="00C80439"/>
    <w:rsid w:val="00C816F1"/>
    <w:rsid w:val="00C819EC"/>
    <w:rsid w:val="00C81EAF"/>
    <w:rsid w:val="00C81F7B"/>
    <w:rsid w:val="00C82207"/>
    <w:rsid w:val="00C82222"/>
    <w:rsid w:val="00C82988"/>
    <w:rsid w:val="00C82D07"/>
    <w:rsid w:val="00C85087"/>
    <w:rsid w:val="00C857EC"/>
    <w:rsid w:val="00C85A4B"/>
    <w:rsid w:val="00C86696"/>
    <w:rsid w:val="00C86713"/>
    <w:rsid w:val="00C8762E"/>
    <w:rsid w:val="00C879EC"/>
    <w:rsid w:val="00C9046A"/>
    <w:rsid w:val="00C9089B"/>
    <w:rsid w:val="00C9155E"/>
    <w:rsid w:val="00C91722"/>
    <w:rsid w:val="00C91778"/>
    <w:rsid w:val="00C923CC"/>
    <w:rsid w:val="00C92CB8"/>
    <w:rsid w:val="00C92D8D"/>
    <w:rsid w:val="00C92FF7"/>
    <w:rsid w:val="00C9301A"/>
    <w:rsid w:val="00C937D2"/>
    <w:rsid w:val="00C94007"/>
    <w:rsid w:val="00C94B8F"/>
    <w:rsid w:val="00C94EE1"/>
    <w:rsid w:val="00C9531F"/>
    <w:rsid w:val="00C955A9"/>
    <w:rsid w:val="00C9574C"/>
    <w:rsid w:val="00C95ABA"/>
    <w:rsid w:val="00C9603C"/>
    <w:rsid w:val="00C9629F"/>
    <w:rsid w:val="00C9720B"/>
    <w:rsid w:val="00C9730C"/>
    <w:rsid w:val="00C97487"/>
    <w:rsid w:val="00C97777"/>
    <w:rsid w:val="00CA0640"/>
    <w:rsid w:val="00CA06AF"/>
    <w:rsid w:val="00CA078E"/>
    <w:rsid w:val="00CA087D"/>
    <w:rsid w:val="00CA0979"/>
    <w:rsid w:val="00CA0FEB"/>
    <w:rsid w:val="00CA1400"/>
    <w:rsid w:val="00CA1468"/>
    <w:rsid w:val="00CA15F4"/>
    <w:rsid w:val="00CA1A95"/>
    <w:rsid w:val="00CA1CA3"/>
    <w:rsid w:val="00CA1D92"/>
    <w:rsid w:val="00CA2412"/>
    <w:rsid w:val="00CA26F6"/>
    <w:rsid w:val="00CA2C76"/>
    <w:rsid w:val="00CA2E74"/>
    <w:rsid w:val="00CA357C"/>
    <w:rsid w:val="00CA37D5"/>
    <w:rsid w:val="00CA4664"/>
    <w:rsid w:val="00CA55DC"/>
    <w:rsid w:val="00CA71E7"/>
    <w:rsid w:val="00CA7D1F"/>
    <w:rsid w:val="00CB08DE"/>
    <w:rsid w:val="00CB1638"/>
    <w:rsid w:val="00CB1FE3"/>
    <w:rsid w:val="00CB31AC"/>
    <w:rsid w:val="00CB3A33"/>
    <w:rsid w:val="00CB49A5"/>
    <w:rsid w:val="00CB4A68"/>
    <w:rsid w:val="00CB4F89"/>
    <w:rsid w:val="00CB5406"/>
    <w:rsid w:val="00CB5EC2"/>
    <w:rsid w:val="00CB646F"/>
    <w:rsid w:val="00CB7DF0"/>
    <w:rsid w:val="00CC00A5"/>
    <w:rsid w:val="00CC125E"/>
    <w:rsid w:val="00CC1263"/>
    <w:rsid w:val="00CC24E6"/>
    <w:rsid w:val="00CC264E"/>
    <w:rsid w:val="00CC3A5A"/>
    <w:rsid w:val="00CC3B88"/>
    <w:rsid w:val="00CC4290"/>
    <w:rsid w:val="00CC4827"/>
    <w:rsid w:val="00CC4D48"/>
    <w:rsid w:val="00CC5A57"/>
    <w:rsid w:val="00CC6C0F"/>
    <w:rsid w:val="00CC78BD"/>
    <w:rsid w:val="00CD0940"/>
    <w:rsid w:val="00CD0CEB"/>
    <w:rsid w:val="00CD0D9B"/>
    <w:rsid w:val="00CD121B"/>
    <w:rsid w:val="00CD1F27"/>
    <w:rsid w:val="00CD2396"/>
    <w:rsid w:val="00CD2539"/>
    <w:rsid w:val="00CD2AE0"/>
    <w:rsid w:val="00CD3A54"/>
    <w:rsid w:val="00CD50AA"/>
    <w:rsid w:val="00CD53DC"/>
    <w:rsid w:val="00CD5477"/>
    <w:rsid w:val="00CD5631"/>
    <w:rsid w:val="00CD59B2"/>
    <w:rsid w:val="00CD5B87"/>
    <w:rsid w:val="00CD711B"/>
    <w:rsid w:val="00CD7DA5"/>
    <w:rsid w:val="00CD7E94"/>
    <w:rsid w:val="00CE06C4"/>
    <w:rsid w:val="00CE0D9A"/>
    <w:rsid w:val="00CE0FFF"/>
    <w:rsid w:val="00CE12BF"/>
    <w:rsid w:val="00CE1B3D"/>
    <w:rsid w:val="00CE22FF"/>
    <w:rsid w:val="00CE26E3"/>
    <w:rsid w:val="00CE3524"/>
    <w:rsid w:val="00CE36FA"/>
    <w:rsid w:val="00CE37F6"/>
    <w:rsid w:val="00CE38C6"/>
    <w:rsid w:val="00CE3988"/>
    <w:rsid w:val="00CE3F49"/>
    <w:rsid w:val="00CE3F75"/>
    <w:rsid w:val="00CE4011"/>
    <w:rsid w:val="00CE41AC"/>
    <w:rsid w:val="00CE4D3B"/>
    <w:rsid w:val="00CE4DB2"/>
    <w:rsid w:val="00CE52EE"/>
    <w:rsid w:val="00CE629C"/>
    <w:rsid w:val="00CE64F8"/>
    <w:rsid w:val="00CE67F8"/>
    <w:rsid w:val="00CE7A49"/>
    <w:rsid w:val="00CE7C1F"/>
    <w:rsid w:val="00CE7C4D"/>
    <w:rsid w:val="00CF0049"/>
    <w:rsid w:val="00CF05A7"/>
    <w:rsid w:val="00CF0DD4"/>
    <w:rsid w:val="00CF113D"/>
    <w:rsid w:val="00CF17E0"/>
    <w:rsid w:val="00CF17FB"/>
    <w:rsid w:val="00CF24A6"/>
    <w:rsid w:val="00CF27E6"/>
    <w:rsid w:val="00CF2A64"/>
    <w:rsid w:val="00CF2C8E"/>
    <w:rsid w:val="00CF4089"/>
    <w:rsid w:val="00CF4B55"/>
    <w:rsid w:val="00CF5465"/>
    <w:rsid w:val="00CF690E"/>
    <w:rsid w:val="00CF6EEC"/>
    <w:rsid w:val="00CF7486"/>
    <w:rsid w:val="00CF75FF"/>
    <w:rsid w:val="00CF77F4"/>
    <w:rsid w:val="00CF78A1"/>
    <w:rsid w:val="00CF7FA4"/>
    <w:rsid w:val="00D00BA5"/>
    <w:rsid w:val="00D0209C"/>
    <w:rsid w:val="00D027A8"/>
    <w:rsid w:val="00D04267"/>
    <w:rsid w:val="00D04D06"/>
    <w:rsid w:val="00D04E2B"/>
    <w:rsid w:val="00D0527F"/>
    <w:rsid w:val="00D0542D"/>
    <w:rsid w:val="00D0641F"/>
    <w:rsid w:val="00D070E5"/>
    <w:rsid w:val="00D07445"/>
    <w:rsid w:val="00D07A84"/>
    <w:rsid w:val="00D07B0A"/>
    <w:rsid w:val="00D107CD"/>
    <w:rsid w:val="00D10819"/>
    <w:rsid w:val="00D10A58"/>
    <w:rsid w:val="00D115C3"/>
    <w:rsid w:val="00D11A90"/>
    <w:rsid w:val="00D12339"/>
    <w:rsid w:val="00D12359"/>
    <w:rsid w:val="00D12663"/>
    <w:rsid w:val="00D12C95"/>
    <w:rsid w:val="00D130AE"/>
    <w:rsid w:val="00D14C4D"/>
    <w:rsid w:val="00D151CC"/>
    <w:rsid w:val="00D15419"/>
    <w:rsid w:val="00D15545"/>
    <w:rsid w:val="00D1576D"/>
    <w:rsid w:val="00D15890"/>
    <w:rsid w:val="00D15C20"/>
    <w:rsid w:val="00D1728E"/>
    <w:rsid w:val="00D17875"/>
    <w:rsid w:val="00D17F91"/>
    <w:rsid w:val="00D20D72"/>
    <w:rsid w:val="00D21116"/>
    <w:rsid w:val="00D212C9"/>
    <w:rsid w:val="00D216F9"/>
    <w:rsid w:val="00D21B99"/>
    <w:rsid w:val="00D22A5B"/>
    <w:rsid w:val="00D22BE6"/>
    <w:rsid w:val="00D232ED"/>
    <w:rsid w:val="00D249EA"/>
    <w:rsid w:val="00D257EF"/>
    <w:rsid w:val="00D26F4C"/>
    <w:rsid w:val="00D272DA"/>
    <w:rsid w:val="00D27C63"/>
    <w:rsid w:val="00D27D0E"/>
    <w:rsid w:val="00D27D35"/>
    <w:rsid w:val="00D30915"/>
    <w:rsid w:val="00D30A6F"/>
    <w:rsid w:val="00D3114B"/>
    <w:rsid w:val="00D31274"/>
    <w:rsid w:val="00D31319"/>
    <w:rsid w:val="00D31EA6"/>
    <w:rsid w:val="00D3205F"/>
    <w:rsid w:val="00D32A6B"/>
    <w:rsid w:val="00D32EE7"/>
    <w:rsid w:val="00D33220"/>
    <w:rsid w:val="00D33298"/>
    <w:rsid w:val="00D33861"/>
    <w:rsid w:val="00D33C5A"/>
    <w:rsid w:val="00D33F1C"/>
    <w:rsid w:val="00D34B94"/>
    <w:rsid w:val="00D34C6A"/>
    <w:rsid w:val="00D34E51"/>
    <w:rsid w:val="00D350EA"/>
    <w:rsid w:val="00D352C5"/>
    <w:rsid w:val="00D355C5"/>
    <w:rsid w:val="00D3602B"/>
    <w:rsid w:val="00D37480"/>
    <w:rsid w:val="00D3754D"/>
    <w:rsid w:val="00D376F5"/>
    <w:rsid w:val="00D40D27"/>
    <w:rsid w:val="00D40E87"/>
    <w:rsid w:val="00D41560"/>
    <w:rsid w:val="00D417B7"/>
    <w:rsid w:val="00D418AE"/>
    <w:rsid w:val="00D41AD9"/>
    <w:rsid w:val="00D41D2B"/>
    <w:rsid w:val="00D41DC9"/>
    <w:rsid w:val="00D4241D"/>
    <w:rsid w:val="00D42B1D"/>
    <w:rsid w:val="00D4316D"/>
    <w:rsid w:val="00D449F1"/>
    <w:rsid w:val="00D45912"/>
    <w:rsid w:val="00D461E1"/>
    <w:rsid w:val="00D46CC4"/>
    <w:rsid w:val="00D46F61"/>
    <w:rsid w:val="00D47BDF"/>
    <w:rsid w:val="00D5062B"/>
    <w:rsid w:val="00D51237"/>
    <w:rsid w:val="00D516AC"/>
    <w:rsid w:val="00D51A44"/>
    <w:rsid w:val="00D51D5C"/>
    <w:rsid w:val="00D52EB5"/>
    <w:rsid w:val="00D558F6"/>
    <w:rsid w:val="00D562C9"/>
    <w:rsid w:val="00D5631A"/>
    <w:rsid w:val="00D56329"/>
    <w:rsid w:val="00D56664"/>
    <w:rsid w:val="00D566C5"/>
    <w:rsid w:val="00D566CF"/>
    <w:rsid w:val="00D602F2"/>
    <w:rsid w:val="00D60ABC"/>
    <w:rsid w:val="00D618DA"/>
    <w:rsid w:val="00D61EA0"/>
    <w:rsid w:val="00D61FB2"/>
    <w:rsid w:val="00D62027"/>
    <w:rsid w:val="00D6215C"/>
    <w:rsid w:val="00D62988"/>
    <w:rsid w:val="00D62DF0"/>
    <w:rsid w:val="00D63326"/>
    <w:rsid w:val="00D64974"/>
    <w:rsid w:val="00D65154"/>
    <w:rsid w:val="00D652A6"/>
    <w:rsid w:val="00D66A0A"/>
    <w:rsid w:val="00D670E3"/>
    <w:rsid w:val="00D671D6"/>
    <w:rsid w:val="00D67209"/>
    <w:rsid w:val="00D67338"/>
    <w:rsid w:val="00D67342"/>
    <w:rsid w:val="00D67587"/>
    <w:rsid w:val="00D678FB"/>
    <w:rsid w:val="00D678FE"/>
    <w:rsid w:val="00D7040E"/>
    <w:rsid w:val="00D709C0"/>
    <w:rsid w:val="00D70D3C"/>
    <w:rsid w:val="00D70FC5"/>
    <w:rsid w:val="00D714FD"/>
    <w:rsid w:val="00D71EEA"/>
    <w:rsid w:val="00D72CDF"/>
    <w:rsid w:val="00D73BDD"/>
    <w:rsid w:val="00D73DD7"/>
    <w:rsid w:val="00D748F3"/>
    <w:rsid w:val="00D74E40"/>
    <w:rsid w:val="00D74F37"/>
    <w:rsid w:val="00D7503F"/>
    <w:rsid w:val="00D7649F"/>
    <w:rsid w:val="00D76C0B"/>
    <w:rsid w:val="00D77ACD"/>
    <w:rsid w:val="00D77D4C"/>
    <w:rsid w:val="00D80336"/>
    <w:rsid w:val="00D807F3"/>
    <w:rsid w:val="00D80833"/>
    <w:rsid w:val="00D80A2D"/>
    <w:rsid w:val="00D81A3B"/>
    <w:rsid w:val="00D81F3C"/>
    <w:rsid w:val="00D81F43"/>
    <w:rsid w:val="00D8243F"/>
    <w:rsid w:val="00D82DD3"/>
    <w:rsid w:val="00D8305E"/>
    <w:rsid w:val="00D830F9"/>
    <w:rsid w:val="00D83591"/>
    <w:rsid w:val="00D83995"/>
    <w:rsid w:val="00D83A60"/>
    <w:rsid w:val="00D85B48"/>
    <w:rsid w:val="00D8641A"/>
    <w:rsid w:val="00D86495"/>
    <w:rsid w:val="00D86762"/>
    <w:rsid w:val="00D874D6"/>
    <w:rsid w:val="00D87758"/>
    <w:rsid w:val="00D87A47"/>
    <w:rsid w:val="00D900E7"/>
    <w:rsid w:val="00D90B22"/>
    <w:rsid w:val="00D91298"/>
    <w:rsid w:val="00D91553"/>
    <w:rsid w:val="00D92293"/>
    <w:rsid w:val="00D92A47"/>
    <w:rsid w:val="00D92F47"/>
    <w:rsid w:val="00D9361C"/>
    <w:rsid w:val="00D93B8D"/>
    <w:rsid w:val="00D9549E"/>
    <w:rsid w:val="00D95766"/>
    <w:rsid w:val="00D95976"/>
    <w:rsid w:val="00D95DD8"/>
    <w:rsid w:val="00D96266"/>
    <w:rsid w:val="00D96D3F"/>
    <w:rsid w:val="00D97238"/>
    <w:rsid w:val="00D97952"/>
    <w:rsid w:val="00DA0173"/>
    <w:rsid w:val="00DA03E4"/>
    <w:rsid w:val="00DA0655"/>
    <w:rsid w:val="00DA0788"/>
    <w:rsid w:val="00DA0A42"/>
    <w:rsid w:val="00DA13B4"/>
    <w:rsid w:val="00DA1B6E"/>
    <w:rsid w:val="00DA2324"/>
    <w:rsid w:val="00DA2FAE"/>
    <w:rsid w:val="00DA3140"/>
    <w:rsid w:val="00DA33E4"/>
    <w:rsid w:val="00DA3900"/>
    <w:rsid w:val="00DA3C55"/>
    <w:rsid w:val="00DA41D4"/>
    <w:rsid w:val="00DA420F"/>
    <w:rsid w:val="00DA525C"/>
    <w:rsid w:val="00DA550B"/>
    <w:rsid w:val="00DA6557"/>
    <w:rsid w:val="00DA666E"/>
    <w:rsid w:val="00DA7A51"/>
    <w:rsid w:val="00DB0579"/>
    <w:rsid w:val="00DB0612"/>
    <w:rsid w:val="00DB0C7E"/>
    <w:rsid w:val="00DB0F11"/>
    <w:rsid w:val="00DB138F"/>
    <w:rsid w:val="00DB177C"/>
    <w:rsid w:val="00DB191D"/>
    <w:rsid w:val="00DB292C"/>
    <w:rsid w:val="00DB2AEC"/>
    <w:rsid w:val="00DB2D0E"/>
    <w:rsid w:val="00DB2F11"/>
    <w:rsid w:val="00DB3040"/>
    <w:rsid w:val="00DB30B4"/>
    <w:rsid w:val="00DB4281"/>
    <w:rsid w:val="00DB4CA6"/>
    <w:rsid w:val="00DB5083"/>
    <w:rsid w:val="00DB5BF6"/>
    <w:rsid w:val="00DB62EA"/>
    <w:rsid w:val="00DB643F"/>
    <w:rsid w:val="00DB654B"/>
    <w:rsid w:val="00DB6D74"/>
    <w:rsid w:val="00DB774F"/>
    <w:rsid w:val="00DB7A05"/>
    <w:rsid w:val="00DC0917"/>
    <w:rsid w:val="00DC0C84"/>
    <w:rsid w:val="00DC1554"/>
    <w:rsid w:val="00DC189B"/>
    <w:rsid w:val="00DC1AC8"/>
    <w:rsid w:val="00DC2A5D"/>
    <w:rsid w:val="00DC31AF"/>
    <w:rsid w:val="00DC330E"/>
    <w:rsid w:val="00DC37F0"/>
    <w:rsid w:val="00DC398C"/>
    <w:rsid w:val="00DC3EEA"/>
    <w:rsid w:val="00DC44A0"/>
    <w:rsid w:val="00DC4924"/>
    <w:rsid w:val="00DC4CDF"/>
    <w:rsid w:val="00DC50CF"/>
    <w:rsid w:val="00DC526C"/>
    <w:rsid w:val="00DC596A"/>
    <w:rsid w:val="00DC6094"/>
    <w:rsid w:val="00DC63B1"/>
    <w:rsid w:val="00DC6D78"/>
    <w:rsid w:val="00DC701C"/>
    <w:rsid w:val="00DD037D"/>
    <w:rsid w:val="00DD059C"/>
    <w:rsid w:val="00DD1934"/>
    <w:rsid w:val="00DD1B83"/>
    <w:rsid w:val="00DD1BD9"/>
    <w:rsid w:val="00DD1F67"/>
    <w:rsid w:val="00DD2102"/>
    <w:rsid w:val="00DD24FA"/>
    <w:rsid w:val="00DD2921"/>
    <w:rsid w:val="00DD2FB1"/>
    <w:rsid w:val="00DD3BEE"/>
    <w:rsid w:val="00DD4403"/>
    <w:rsid w:val="00DD472C"/>
    <w:rsid w:val="00DD4850"/>
    <w:rsid w:val="00DD4E7C"/>
    <w:rsid w:val="00DD6D8D"/>
    <w:rsid w:val="00DD7836"/>
    <w:rsid w:val="00DD7FDA"/>
    <w:rsid w:val="00DE0E97"/>
    <w:rsid w:val="00DE0FD5"/>
    <w:rsid w:val="00DE1863"/>
    <w:rsid w:val="00DE1DA4"/>
    <w:rsid w:val="00DE1DD1"/>
    <w:rsid w:val="00DE26A0"/>
    <w:rsid w:val="00DE2C99"/>
    <w:rsid w:val="00DE3D73"/>
    <w:rsid w:val="00DE3EA0"/>
    <w:rsid w:val="00DE414C"/>
    <w:rsid w:val="00DE4200"/>
    <w:rsid w:val="00DE46AF"/>
    <w:rsid w:val="00DE4CB2"/>
    <w:rsid w:val="00DE51A5"/>
    <w:rsid w:val="00DE53B0"/>
    <w:rsid w:val="00DE5903"/>
    <w:rsid w:val="00DE5C1E"/>
    <w:rsid w:val="00DE5F7F"/>
    <w:rsid w:val="00DE6ACF"/>
    <w:rsid w:val="00DE7094"/>
    <w:rsid w:val="00DE73E9"/>
    <w:rsid w:val="00DE783E"/>
    <w:rsid w:val="00DE7E05"/>
    <w:rsid w:val="00DF03C5"/>
    <w:rsid w:val="00DF047F"/>
    <w:rsid w:val="00DF06DF"/>
    <w:rsid w:val="00DF0746"/>
    <w:rsid w:val="00DF0DFF"/>
    <w:rsid w:val="00DF0E2F"/>
    <w:rsid w:val="00DF0F2D"/>
    <w:rsid w:val="00DF15D1"/>
    <w:rsid w:val="00DF1FE8"/>
    <w:rsid w:val="00DF3BE1"/>
    <w:rsid w:val="00DF3E80"/>
    <w:rsid w:val="00DF44B9"/>
    <w:rsid w:val="00DF4B42"/>
    <w:rsid w:val="00DF4B81"/>
    <w:rsid w:val="00DF52F5"/>
    <w:rsid w:val="00DF5486"/>
    <w:rsid w:val="00DF55A5"/>
    <w:rsid w:val="00DF55D8"/>
    <w:rsid w:val="00DF56CE"/>
    <w:rsid w:val="00DF5D97"/>
    <w:rsid w:val="00DF617D"/>
    <w:rsid w:val="00DF62C0"/>
    <w:rsid w:val="00DF6BD8"/>
    <w:rsid w:val="00DF6C29"/>
    <w:rsid w:val="00DF6E8F"/>
    <w:rsid w:val="00DF733B"/>
    <w:rsid w:val="00DF74F6"/>
    <w:rsid w:val="00DF754F"/>
    <w:rsid w:val="00DF79A8"/>
    <w:rsid w:val="00DF7ABD"/>
    <w:rsid w:val="00E0009C"/>
    <w:rsid w:val="00E005D2"/>
    <w:rsid w:val="00E00A64"/>
    <w:rsid w:val="00E023E6"/>
    <w:rsid w:val="00E02659"/>
    <w:rsid w:val="00E026F2"/>
    <w:rsid w:val="00E02FEC"/>
    <w:rsid w:val="00E034B9"/>
    <w:rsid w:val="00E0367E"/>
    <w:rsid w:val="00E04128"/>
    <w:rsid w:val="00E0491E"/>
    <w:rsid w:val="00E04A1F"/>
    <w:rsid w:val="00E052E0"/>
    <w:rsid w:val="00E056DD"/>
    <w:rsid w:val="00E05B2A"/>
    <w:rsid w:val="00E060A6"/>
    <w:rsid w:val="00E06376"/>
    <w:rsid w:val="00E0644B"/>
    <w:rsid w:val="00E06979"/>
    <w:rsid w:val="00E06CF6"/>
    <w:rsid w:val="00E06FB8"/>
    <w:rsid w:val="00E071DF"/>
    <w:rsid w:val="00E07913"/>
    <w:rsid w:val="00E07B2A"/>
    <w:rsid w:val="00E113AD"/>
    <w:rsid w:val="00E1145C"/>
    <w:rsid w:val="00E11C57"/>
    <w:rsid w:val="00E12717"/>
    <w:rsid w:val="00E12E85"/>
    <w:rsid w:val="00E1336B"/>
    <w:rsid w:val="00E138D4"/>
    <w:rsid w:val="00E15866"/>
    <w:rsid w:val="00E15FDD"/>
    <w:rsid w:val="00E166DC"/>
    <w:rsid w:val="00E171D4"/>
    <w:rsid w:val="00E17287"/>
    <w:rsid w:val="00E174D3"/>
    <w:rsid w:val="00E17D77"/>
    <w:rsid w:val="00E21242"/>
    <w:rsid w:val="00E21923"/>
    <w:rsid w:val="00E223AE"/>
    <w:rsid w:val="00E226AC"/>
    <w:rsid w:val="00E22759"/>
    <w:rsid w:val="00E22B89"/>
    <w:rsid w:val="00E2348D"/>
    <w:rsid w:val="00E23F3A"/>
    <w:rsid w:val="00E25841"/>
    <w:rsid w:val="00E25912"/>
    <w:rsid w:val="00E25C33"/>
    <w:rsid w:val="00E262B5"/>
    <w:rsid w:val="00E26601"/>
    <w:rsid w:val="00E26A45"/>
    <w:rsid w:val="00E275A0"/>
    <w:rsid w:val="00E30306"/>
    <w:rsid w:val="00E30710"/>
    <w:rsid w:val="00E3209B"/>
    <w:rsid w:val="00E323FC"/>
    <w:rsid w:val="00E32534"/>
    <w:rsid w:val="00E32D73"/>
    <w:rsid w:val="00E33150"/>
    <w:rsid w:val="00E33BBA"/>
    <w:rsid w:val="00E33E52"/>
    <w:rsid w:val="00E34E64"/>
    <w:rsid w:val="00E3573F"/>
    <w:rsid w:val="00E360B9"/>
    <w:rsid w:val="00E36915"/>
    <w:rsid w:val="00E3744A"/>
    <w:rsid w:val="00E37762"/>
    <w:rsid w:val="00E41147"/>
    <w:rsid w:val="00E41DD7"/>
    <w:rsid w:val="00E43C90"/>
    <w:rsid w:val="00E443E9"/>
    <w:rsid w:val="00E444BA"/>
    <w:rsid w:val="00E446A4"/>
    <w:rsid w:val="00E45738"/>
    <w:rsid w:val="00E464BF"/>
    <w:rsid w:val="00E464D9"/>
    <w:rsid w:val="00E46DB1"/>
    <w:rsid w:val="00E504B8"/>
    <w:rsid w:val="00E505CC"/>
    <w:rsid w:val="00E50B74"/>
    <w:rsid w:val="00E5128E"/>
    <w:rsid w:val="00E51E37"/>
    <w:rsid w:val="00E52894"/>
    <w:rsid w:val="00E53178"/>
    <w:rsid w:val="00E53F3F"/>
    <w:rsid w:val="00E54094"/>
    <w:rsid w:val="00E5608E"/>
    <w:rsid w:val="00E56665"/>
    <w:rsid w:val="00E56843"/>
    <w:rsid w:val="00E56AB1"/>
    <w:rsid w:val="00E56B5B"/>
    <w:rsid w:val="00E56DC7"/>
    <w:rsid w:val="00E5749E"/>
    <w:rsid w:val="00E577E1"/>
    <w:rsid w:val="00E578DF"/>
    <w:rsid w:val="00E57A41"/>
    <w:rsid w:val="00E60021"/>
    <w:rsid w:val="00E601CF"/>
    <w:rsid w:val="00E6062F"/>
    <w:rsid w:val="00E608E5"/>
    <w:rsid w:val="00E60F49"/>
    <w:rsid w:val="00E61841"/>
    <w:rsid w:val="00E61C84"/>
    <w:rsid w:val="00E622A6"/>
    <w:rsid w:val="00E6291B"/>
    <w:rsid w:val="00E62BB8"/>
    <w:rsid w:val="00E63223"/>
    <w:rsid w:val="00E63408"/>
    <w:rsid w:val="00E65C81"/>
    <w:rsid w:val="00E65ED0"/>
    <w:rsid w:val="00E66557"/>
    <w:rsid w:val="00E66851"/>
    <w:rsid w:val="00E66AB2"/>
    <w:rsid w:val="00E66B93"/>
    <w:rsid w:val="00E66DFC"/>
    <w:rsid w:val="00E66F57"/>
    <w:rsid w:val="00E6728A"/>
    <w:rsid w:val="00E7008B"/>
    <w:rsid w:val="00E70192"/>
    <w:rsid w:val="00E70895"/>
    <w:rsid w:val="00E71394"/>
    <w:rsid w:val="00E715A3"/>
    <w:rsid w:val="00E71752"/>
    <w:rsid w:val="00E71CBF"/>
    <w:rsid w:val="00E723B3"/>
    <w:rsid w:val="00E73057"/>
    <w:rsid w:val="00E732D9"/>
    <w:rsid w:val="00E73F31"/>
    <w:rsid w:val="00E741D9"/>
    <w:rsid w:val="00E743C1"/>
    <w:rsid w:val="00E74832"/>
    <w:rsid w:val="00E74ABF"/>
    <w:rsid w:val="00E74EBE"/>
    <w:rsid w:val="00E74ED4"/>
    <w:rsid w:val="00E75036"/>
    <w:rsid w:val="00E7527A"/>
    <w:rsid w:val="00E75841"/>
    <w:rsid w:val="00E7674C"/>
    <w:rsid w:val="00E77208"/>
    <w:rsid w:val="00E7765D"/>
    <w:rsid w:val="00E7784A"/>
    <w:rsid w:val="00E77CB0"/>
    <w:rsid w:val="00E77E33"/>
    <w:rsid w:val="00E807CA"/>
    <w:rsid w:val="00E816B3"/>
    <w:rsid w:val="00E82DAB"/>
    <w:rsid w:val="00E83315"/>
    <w:rsid w:val="00E83346"/>
    <w:rsid w:val="00E835A2"/>
    <w:rsid w:val="00E84104"/>
    <w:rsid w:val="00E84728"/>
    <w:rsid w:val="00E848D5"/>
    <w:rsid w:val="00E84B83"/>
    <w:rsid w:val="00E8500C"/>
    <w:rsid w:val="00E86305"/>
    <w:rsid w:val="00E86F63"/>
    <w:rsid w:val="00E87521"/>
    <w:rsid w:val="00E87581"/>
    <w:rsid w:val="00E875D5"/>
    <w:rsid w:val="00E875F3"/>
    <w:rsid w:val="00E87608"/>
    <w:rsid w:val="00E878CC"/>
    <w:rsid w:val="00E9110D"/>
    <w:rsid w:val="00E92330"/>
    <w:rsid w:val="00E9266F"/>
    <w:rsid w:val="00E9271F"/>
    <w:rsid w:val="00E92988"/>
    <w:rsid w:val="00E9315B"/>
    <w:rsid w:val="00E949D1"/>
    <w:rsid w:val="00E94F7A"/>
    <w:rsid w:val="00E95304"/>
    <w:rsid w:val="00E95672"/>
    <w:rsid w:val="00E958D7"/>
    <w:rsid w:val="00E96060"/>
    <w:rsid w:val="00E9629C"/>
    <w:rsid w:val="00E9664D"/>
    <w:rsid w:val="00E97A71"/>
    <w:rsid w:val="00E97B67"/>
    <w:rsid w:val="00E97D9B"/>
    <w:rsid w:val="00EA0107"/>
    <w:rsid w:val="00EA0AD0"/>
    <w:rsid w:val="00EA16AF"/>
    <w:rsid w:val="00EA2164"/>
    <w:rsid w:val="00EA241C"/>
    <w:rsid w:val="00EA3321"/>
    <w:rsid w:val="00EA347B"/>
    <w:rsid w:val="00EA3C9B"/>
    <w:rsid w:val="00EA4BCF"/>
    <w:rsid w:val="00EA4BE4"/>
    <w:rsid w:val="00EA54AD"/>
    <w:rsid w:val="00EA5BE0"/>
    <w:rsid w:val="00EA5D72"/>
    <w:rsid w:val="00EA62D6"/>
    <w:rsid w:val="00EA7071"/>
    <w:rsid w:val="00EA74C3"/>
    <w:rsid w:val="00EA75A4"/>
    <w:rsid w:val="00EA7995"/>
    <w:rsid w:val="00EB033D"/>
    <w:rsid w:val="00EB0500"/>
    <w:rsid w:val="00EB0EC9"/>
    <w:rsid w:val="00EB123F"/>
    <w:rsid w:val="00EB13E0"/>
    <w:rsid w:val="00EB142D"/>
    <w:rsid w:val="00EB203E"/>
    <w:rsid w:val="00EB21D8"/>
    <w:rsid w:val="00EB2632"/>
    <w:rsid w:val="00EB2667"/>
    <w:rsid w:val="00EB26F8"/>
    <w:rsid w:val="00EB3296"/>
    <w:rsid w:val="00EB34EC"/>
    <w:rsid w:val="00EB5395"/>
    <w:rsid w:val="00EB5735"/>
    <w:rsid w:val="00EB5E8D"/>
    <w:rsid w:val="00EB6013"/>
    <w:rsid w:val="00EB6405"/>
    <w:rsid w:val="00EB65F9"/>
    <w:rsid w:val="00EB67DF"/>
    <w:rsid w:val="00EB69B9"/>
    <w:rsid w:val="00EB6A8E"/>
    <w:rsid w:val="00EB6D47"/>
    <w:rsid w:val="00EB6F21"/>
    <w:rsid w:val="00EC006F"/>
    <w:rsid w:val="00EC0100"/>
    <w:rsid w:val="00EC061E"/>
    <w:rsid w:val="00EC098B"/>
    <w:rsid w:val="00EC0B5B"/>
    <w:rsid w:val="00EC2349"/>
    <w:rsid w:val="00EC2512"/>
    <w:rsid w:val="00EC26EC"/>
    <w:rsid w:val="00EC2BA9"/>
    <w:rsid w:val="00EC3B6A"/>
    <w:rsid w:val="00EC4209"/>
    <w:rsid w:val="00EC43F1"/>
    <w:rsid w:val="00EC4508"/>
    <w:rsid w:val="00EC46DB"/>
    <w:rsid w:val="00EC4EC8"/>
    <w:rsid w:val="00EC4F6D"/>
    <w:rsid w:val="00EC5CAF"/>
    <w:rsid w:val="00EC5DE7"/>
    <w:rsid w:val="00EC6272"/>
    <w:rsid w:val="00EC632C"/>
    <w:rsid w:val="00EC64F3"/>
    <w:rsid w:val="00EC664E"/>
    <w:rsid w:val="00EC67D0"/>
    <w:rsid w:val="00EC6809"/>
    <w:rsid w:val="00EC6C9E"/>
    <w:rsid w:val="00EC6CFB"/>
    <w:rsid w:val="00EC736B"/>
    <w:rsid w:val="00EC75BB"/>
    <w:rsid w:val="00EC7955"/>
    <w:rsid w:val="00ED067F"/>
    <w:rsid w:val="00ED124F"/>
    <w:rsid w:val="00ED1CFE"/>
    <w:rsid w:val="00ED26D1"/>
    <w:rsid w:val="00ED305C"/>
    <w:rsid w:val="00ED3D20"/>
    <w:rsid w:val="00ED3F5C"/>
    <w:rsid w:val="00ED5A7B"/>
    <w:rsid w:val="00ED5ADD"/>
    <w:rsid w:val="00ED5C08"/>
    <w:rsid w:val="00ED6171"/>
    <w:rsid w:val="00ED7188"/>
    <w:rsid w:val="00ED7B70"/>
    <w:rsid w:val="00EE19B5"/>
    <w:rsid w:val="00EE2062"/>
    <w:rsid w:val="00EE21FD"/>
    <w:rsid w:val="00EE3428"/>
    <w:rsid w:val="00EE3536"/>
    <w:rsid w:val="00EE363A"/>
    <w:rsid w:val="00EE3D21"/>
    <w:rsid w:val="00EE4064"/>
    <w:rsid w:val="00EE489C"/>
    <w:rsid w:val="00EE49EA"/>
    <w:rsid w:val="00EE4CDF"/>
    <w:rsid w:val="00EE4D5D"/>
    <w:rsid w:val="00EE558D"/>
    <w:rsid w:val="00EE576D"/>
    <w:rsid w:val="00EE5E0B"/>
    <w:rsid w:val="00EE6E8D"/>
    <w:rsid w:val="00EE7F8A"/>
    <w:rsid w:val="00EF0150"/>
    <w:rsid w:val="00EF01E5"/>
    <w:rsid w:val="00EF0219"/>
    <w:rsid w:val="00EF0452"/>
    <w:rsid w:val="00EF072B"/>
    <w:rsid w:val="00EF1D06"/>
    <w:rsid w:val="00EF2D2E"/>
    <w:rsid w:val="00EF336A"/>
    <w:rsid w:val="00EF3804"/>
    <w:rsid w:val="00EF3F10"/>
    <w:rsid w:val="00EF42BE"/>
    <w:rsid w:val="00EF4686"/>
    <w:rsid w:val="00EF493F"/>
    <w:rsid w:val="00EF4AD7"/>
    <w:rsid w:val="00EF4CB5"/>
    <w:rsid w:val="00EF537E"/>
    <w:rsid w:val="00EF6D60"/>
    <w:rsid w:val="00EF7134"/>
    <w:rsid w:val="00F00397"/>
    <w:rsid w:val="00F009F1"/>
    <w:rsid w:val="00F00E82"/>
    <w:rsid w:val="00F01993"/>
    <w:rsid w:val="00F02EA9"/>
    <w:rsid w:val="00F03C28"/>
    <w:rsid w:val="00F04C11"/>
    <w:rsid w:val="00F06588"/>
    <w:rsid w:val="00F06CC4"/>
    <w:rsid w:val="00F0725E"/>
    <w:rsid w:val="00F10A28"/>
    <w:rsid w:val="00F10ABE"/>
    <w:rsid w:val="00F10ED1"/>
    <w:rsid w:val="00F113C0"/>
    <w:rsid w:val="00F119CC"/>
    <w:rsid w:val="00F11B91"/>
    <w:rsid w:val="00F129EA"/>
    <w:rsid w:val="00F13157"/>
    <w:rsid w:val="00F133FA"/>
    <w:rsid w:val="00F13C3C"/>
    <w:rsid w:val="00F150E5"/>
    <w:rsid w:val="00F150EB"/>
    <w:rsid w:val="00F1618E"/>
    <w:rsid w:val="00F169B3"/>
    <w:rsid w:val="00F17175"/>
    <w:rsid w:val="00F17486"/>
    <w:rsid w:val="00F179CB"/>
    <w:rsid w:val="00F17BC6"/>
    <w:rsid w:val="00F20F8A"/>
    <w:rsid w:val="00F21F26"/>
    <w:rsid w:val="00F22F67"/>
    <w:rsid w:val="00F22FE1"/>
    <w:rsid w:val="00F234D4"/>
    <w:rsid w:val="00F23C6F"/>
    <w:rsid w:val="00F2433A"/>
    <w:rsid w:val="00F248FD"/>
    <w:rsid w:val="00F2547D"/>
    <w:rsid w:val="00F25622"/>
    <w:rsid w:val="00F25B69"/>
    <w:rsid w:val="00F270BD"/>
    <w:rsid w:val="00F273C0"/>
    <w:rsid w:val="00F27868"/>
    <w:rsid w:val="00F27886"/>
    <w:rsid w:val="00F27F63"/>
    <w:rsid w:val="00F27FFE"/>
    <w:rsid w:val="00F300BC"/>
    <w:rsid w:val="00F31FDE"/>
    <w:rsid w:val="00F32A62"/>
    <w:rsid w:val="00F33536"/>
    <w:rsid w:val="00F35149"/>
    <w:rsid w:val="00F35254"/>
    <w:rsid w:val="00F3595A"/>
    <w:rsid w:val="00F367C6"/>
    <w:rsid w:val="00F3720F"/>
    <w:rsid w:val="00F41542"/>
    <w:rsid w:val="00F43D78"/>
    <w:rsid w:val="00F43E87"/>
    <w:rsid w:val="00F4684B"/>
    <w:rsid w:val="00F478B1"/>
    <w:rsid w:val="00F47D1E"/>
    <w:rsid w:val="00F509FD"/>
    <w:rsid w:val="00F51117"/>
    <w:rsid w:val="00F518DC"/>
    <w:rsid w:val="00F52252"/>
    <w:rsid w:val="00F527C3"/>
    <w:rsid w:val="00F52E74"/>
    <w:rsid w:val="00F5311F"/>
    <w:rsid w:val="00F53A9E"/>
    <w:rsid w:val="00F55488"/>
    <w:rsid w:val="00F56034"/>
    <w:rsid w:val="00F568D5"/>
    <w:rsid w:val="00F5721F"/>
    <w:rsid w:val="00F5768E"/>
    <w:rsid w:val="00F60968"/>
    <w:rsid w:val="00F61717"/>
    <w:rsid w:val="00F622FD"/>
    <w:rsid w:val="00F62F1F"/>
    <w:rsid w:val="00F6344A"/>
    <w:rsid w:val="00F64F30"/>
    <w:rsid w:val="00F658AA"/>
    <w:rsid w:val="00F665C2"/>
    <w:rsid w:val="00F6662A"/>
    <w:rsid w:val="00F66E9A"/>
    <w:rsid w:val="00F67179"/>
    <w:rsid w:val="00F67AE2"/>
    <w:rsid w:val="00F70085"/>
    <w:rsid w:val="00F704CD"/>
    <w:rsid w:val="00F70527"/>
    <w:rsid w:val="00F70659"/>
    <w:rsid w:val="00F70B22"/>
    <w:rsid w:val="00F70F76"/>
    <w:rsid w:val="00F7105C"/>
    <w:rsid w:val="00F72A99"/>
    <w:rsid w:val="00F733D6"/>
    <w:rsid w:val="00F73BCE"/>
    <w:rsid w:val="00F74629"/>
    <w:rsid w:val="00F75072"/>
    <w:rsid w:val="00F755D4"/>
    <w:rsid w:val="00F75EF4"/>
    <w:rsid w:val="00F75F99"/>
    <w:rsid w:val="00F77380"/>
    <w:rsid w:val="00F773E6"/>
    <w:rsid w:val="00F77B9E"/>
    <w:rsid w:val="00F77E6A"/>
    <w:rsid w:val="00F801DC"/>
    <w:rsid w:val="00F803BF"/>
    <w:rsid w:val="00F805F7"/>
    <w:rsid w:val="00F807C7"/>
    <w:rsid w:val="00F8202D"/>
    <w:rsid w:val="00F8227B"/>
    <w:rsid w:val="00F826B0"/>
    <w:rsid w:val="00F82A1A"/>
    <w:rsid w:val="00F8311C"/>
    <w:rsid w:val="00F836F1"/>
    <w:rsid w:val="00F8370A"/>
    <w:rsid w:val="00F83C89"/>
    <w:rsid w:val="00F84456"/>
    <w:rsid w:val="00F85571"/>
    <w:rsid w:val="00F86144"/>
    <w:rsid w:val="00F86488"/>
    <w:rsid w:val="00F870D2"/>
    <w:rsid w:val="00F87F13"/>
    <w:rsid w:val="00F900B8"/>
    <w:rsid w:val="00F90218"/>
    <w:rsid w:val="00F902CE"/>
    <w:rsid w:val="00F904E2"/>
    <w:rsid w:val="00F90907"/>
    <w:rsid w:val="00F90B98"/>
    <w:rsid w:val="00F90C2B"/>
    <w:rsid w:val="00F90DB7"/>
    <w:rsid w:val="00F91850"/>
    <w:rsid w:val="00F91B7A"/>
    <w:rsid w:val="00F91D4D"/>
    <w:rsid w:val="00F921AA"/>
    <w:rsid w:val="00F927A5"/>
    <w:rsid w:val="00F93916"/>
    <w:rsid w:val="00F93F72"/>
    <w:rsid w:val="00F940C3"/>
    <w:rsid w:val="00F94329"/>
    <w:rsid w:val="00F94A1D"/>
    <w:rsid w:val="00F94A2F"/>
    <w:rsid w:val="00F94D5E"/>
    <w:rsid w:val="00F95469"/>
    <w:rsid w:val="00F95AAE"/>
    <w:rsid w:val="00F95C40"/>
    <w:rsid w:val="00F95EEE"/>
    <w:rsid w:val="00F969F5"/>
    <w:rsid w:val="00FA06A1"/>
    <w:rsid w:val="00FA0B8D"/>
    <w:rsid w:val="00FA122E"/>
    <w:rsid w:val="00FA1632"/>
    <w:rsid w:val="00FA1693"/>
    <w:rsid w:val="00FA17A0"/>
    <w:rsid w:val="00FA19A3"/>
    <w:rsid w:val="00FA1A86"/>
    <w:rsid w:val="00FA1AEA"/>
    <w:rsid w:val="00FA27C5"/>
    <w:rsid w:val="00FA28CD"/>
    <w:rsid w:val="00FA3B95"/>
    <w:rsid w:val="00FA4A33"/>
    <w:rsid w:val="00FA4E53"/>
    <w:rsid w:val="00FA5543"/>
    <w:rsid w:val="00FA6008"/>
    <w:rsid w:val="00FA6725"/>
    <w:rsid w:val="00FA7407"/>
    <w:rsid w:val="00FB005A"/>
    <w:rsid w:val="00FB051D"/>
    <w:rsid w:val="00FB2BFD"/>
    <w:rsid w:val="00FB32B3"/>
    <w:rsid w:val="00FB3582"/>
    <w:rsid w:val="00FB3C2D"/>
    <w:rsid w:val="00FB3D03"/>
    <w:rsid w:val="00FB3E2E"/>
    <w:rsid w:val="00FB4ABF"/>
    <w:rsid w:val="00FB4B60"/>
    <w:rsid w:val="00FB4C1F"/>
    <w:rsid w:val="00FB68BF"/>
    <w:rsid w:val="00FB68E9"/>
    <w:rsid w:val="00FB6DE8"/>
    <w:rsid w:val="00FB7644"/>
    <w:rsid w:val="00FB7BEB"/>
    <w:rsid w:val="00FC025A"/>
    <w:rsid w:val="00FC02EB"/>
    <w:rsid w:val="00FC0B70"/>
    <w:rsid w:val="00FC0EAC"/>
    <w:rsid w:val="00FC1DAF"/>
    <w:rsid w:val="00FC20B4"/>
    <w:rsid w:val="00FC431E"/>
    <w:rsid w:val="00FC45E3"/>
    <w:rsid w:val="00FC47C5"/>
    <w:rsid w:val="00FC4864"/>
    <w:rsid w:val="00FC56E3"/>
    <w:rsid w:val="00FC59E1"/>
    <w:rsid w:val="00FC5A64"/>
    <w:rsid w:val="00FC6170"/>
    <w:rsid w:val="00FC652E"/>
    <w:rsid w:val="00FC6E4D"/>
    <w:rsid w:val="00FC7109"/>
    <w:rsid w:val="00FC715C"/>
    <w:rsid w:val="00FC7B4A"/>
    <w:rsid w:val="00FD103A"/>
    <w:rsid w:val="00FD1792"/>
    <w:rsid w:val="00FD1AA3"/>
    <w:rsid w:val="00FD2205"/>
    <w:rsid w:val="00FD2376"/>
    <w:rsid w:val="00FD2730"/>
    <w:rsid w:val="00FD2950"/>
    <w:rsid w:val="00FD2C1A"/>
    <w:rsid w:val="00FD3185"/>
    <w:rsid w:val="00FD31EE"/>
    <w:rsid w:val="00FD353C"/>
    <w:rsid w:val="00FD3F59"/>
    <w:rsid w:val="00FD45F5"/>
    <w:rsid w:val="00FD499A"/>
    <w:rsid w:val="00FD4B00"/>
    <w:rsid w:val="00FD53E0"/>
    <w:rsid w:val="00FD5407"/>
    <w:rsid w:val="00FD541A"/>
    <w:rsid w:val="00FD55C9"/>
    <w:rsid w:val="00FD5783"/>
    <w:rsid w:val="00FD57E9"/>
    <w:rsid w:val="00FD6635"/>
    <w:rsid w:val="00FD6C36"/>
    <w:rsid w:val="00FD6F2B"/>
    <w:rsid w:val="00FD725F"/>
    <w:rsid w:val="00FE0366"/>
    <w:rsid w:val="00FE07B1"/>
    <w:rsid w:val="00FE0C8F"/>
    <w:rsid w:val="00FE1319"/>
    <w:rsid w:val="00FE2058"/>
    <w:rsid w:val="00FE245A"/>
    <w:rsid w:val="00FE2735"/>
    <w:rsid w:val="00FE2A6A"/>
    <w:rsid w:val="00FE2B55"/>
    <w:rsid w:val="00FE2E5F"/>
    <w:rsid w:val="00FE367E"/>
    <w:rsid w:val="00FE3BBA"/>
    <w:rsid w:val="00FE3F48"/>
    <w:rsid w:val="00FE4246"/>
    <w:rsid w:val="00FE4E96"/>
    <w:rsid w:val="00FE4FCA"/>
    <w:rsid w:val="00FE5386"/>
    <w:rsid w:val="00FE5DA7"/>
    <w:rsid w:val="00FE5E50"/>
    <w:rsid w:val="00FE6024"/>
    <w:rsid w:val="00FE7B38"/>
    <w:rsid w:val="00FF12A9"/>
    <w:rsid w:val="00FF2A70"/>
    <w:rsid w:val="00FF335E"/>
    <w:rsid w:val="00FF418C"/>
    <w:rsid w:val="00FF467A"/>
    <w:rsid w:val="00FF4D3B"/>
    <w:rsid w:val="00FF5273"/>
    <w:rsid w:val="00FF53B7"/>
    <w:rsid w:val="00FF5695"/>
    <w:rsid w:val="00FF59F6"/>
    <w:rsid w:val="00FF5E1C"/>
    <w:rsid w:val="00FF5F37"/>
    <w:rsid w:val="00FF62FC"/>
    <w:rsid w:val="00FF67D6"/>
    <w:rsid w:val="00FF67D7"/>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7F7A5F0"/>
  <w15:docId w15:val="{AF741D14-7C62-4FCC-8D41-5BF36260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9F7"/>
    <w:pPr>
      <w:ind w:left="720"/>
      <w:contextualSpacing/>
    </w:pPr>
  </w:style>
  <w:style w:type="paragraph" w:styleId="Notedebasdepage">
    <w:name w:val="footnote text"/>
    <w:basedOn w:val="Normal"/>
    <w:link w:val="NotedebasdepageCar"/>
    <w:uiPriority w:val="99"/>
    <w:unhideWhenUsed/>
    <w:rsid w:val="005C55E7"/>
    <w:pPr>
      <w:spacing w:after="0" w:line="240" w:lineRule="auto"/>
    </w:pPr>
    <w:rPr>
      <w:sz w:val="20"/>
      <w:szCs w:val="20"/>
    </w:rPr>
  </w:style>
  <w:style w:type="character" w:customStyle="1" w:styleId="NotedebasdepageCar">
    <w:name w:val="Note de bas de page Car"/>
    <w:basedOn w:val="Policepardfaut"/>
    <w:link w:val="Notedebasdepage"/>
    <w:uiPriority w:val="99"/>
    <w:rsid w:val="005C55E7"/>
    <w:rPr>
      <w:sz w:val="20"/>
      <w:szCs w:val="20"/>
    </w:rPr>
  </w:style>
  <w:style w:type="character" w:styleId="Appelnotedebasdep">
    <w:name w:val="footnote reference"/>
    <w:basedOn w:val="Policepardfaut"/>
    <w:uiPriority w:val="99"/>
    <w:semiHidden/>
    <w:unhideWhenUsed/>
    <w:rsid w:val="005C55E7"/>
    <w:rPr>
      <w:vertAlign w:val="superscript"/>
    </w:rPr>
  </w:style>
  <w:style w:type="paragraph" w:styleId="En-tte">
    <w:name w:val="header"/>
    <w:basedOn w:val="Normal"/>
    <w:link w:val="En-tteCar"/>
    <w:uiPriority w:val="99"/>
    <w:unhideWhenUsed/>
    <w:rsid w:val="00B73174"/>
    <w:pPr>
      <w:tabs>
        <w:tab w:val="center" w:pos="4536"/>
        <w:tab w:val="right" w:pos="9072"/>
      </w:tabs>
      <w:spacing w:after="0" w:line="240" w:lineRule="auto"/>
    </w:pPr>
  </w:style>
  <w:style w:type="character" w:customStyle="1" w:styleId="En-tteCar">
    <w:name w:val="En-tête Car"/>
    <w:basedOn w:val="Policepardfaut"/>
    <w:link w:val="En-tte"/>
    <w:uiPriority w:val="99"/>
    <w:rsid w:val="00B73174"/>
  </w:style>
  <w:style w:type="paragraph" w:styleId="Pieddepage">
    <w:name w:val="footer"/>
    <w:basedOn w:val="Normal"/>
    <w:link w:val="PieddepageCar"/>
    <w:uiPriority w:val="99"/>
    <w:unhideWhenUsed/>
    <w:rsid w:val="00B731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174"/>
  </w:style>
  <w:style w:type="table" w:styleId="Grilledutableau">
    <w:name w:val="Table Grid"/>
    <w:basedOn w:val="TableauNormal"/>
    <w:uiPriority w:val="39"/>
    <w:rsid w:val="0035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E4E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E2F"/>
    <w:rPr>
      <w:rFonts w:ascii="Segoe UI" w:hAnsi="Segoe UI" w:cs="Segoe UI"/>
      <w:sz w:val="18"/>
      <w:szCs w:val="18"/>
    </w:rPr>
  </w:style>
  <w:style w:type="character" w:styleId="Marquedecommentaire">
    <w:name w:val="annotation reference"/>
    <w:basedOn w:val="Policepardfaut"/>
    <w:uiPriority w:val="99"/>
    <w:semiHidden/>
    <w:unhideWhenUsed/>
    <w:rsid w:val="00701B5D"/>
    <w:rPr>
      <w:sz w:val="16"/>
      <w:szCs w:val="16"/>
    </w:rPr>
  </w:style>
  <w:style w:type="paragraph" w:styleId="Commentaire">
    <w:name w:val="annotation text"/>
    <w:basedOn w:val="Normal"/>
    <w:link w:val="CommentaireCar"/>
    <w:uiPriority w:val="99"/>
    <w:unhideWhenUsed/>
    <w:rsid w:val="00701B5D"/>
    <w:pPr>
      <w:spacing w:line="240" w:lineRule="auto"/>
    </w:pPr>
    <w:rPr>
      <w:sz w:val="20"/>
      <w:szCs w:val="20"/>
    </w:rPr>
  </w:style>
  <w:style w:type="character" w:customStyle="1" w:styleId="CommentaireCar">
    <w:name w:val="Commentaire Car"/>
    <w:basedOn w:val="Policepardfaut"/>
    <w:link w:val="Commentaire"/>
    <w:uiPriority w:val="99"/>
    <w:rsid w:val="00701B5D"/>
    <w:rPr>
      <w:sz w:val="20"/>
      <w:szCs w:val="20"/>
    </w:rPr>
  </w:style>
  <w:style w:type="paragraph" w:styleId="Objetducommentaire">
    <w:name w:val="annotation subject"/>
    <w:basedOn w:val="Commentaire"/>
    <w:next w:val="Commentaire"/>
    <w:link w:val="ObjetducommentaireCar"/>
    <w:uiPriority w:val="99"/>
    <w:semiHidden/>
    <w:unhideWhenUsed/>
    <w:rsid w:val="00701B5D"/>
    <w:rPr>
      <w:b/>
      <w:bCs/>
    </w:rPr>
  </w:style>
  <w:style w:type="character" w:customStyle="1" w:styleId="ObjetducommentaireCar">
    <w:name w:val="Objet du commentaire Car"/>
    <w:basedOn w:val="CommentaireCar"/>
    <w:link w:val="Objetducommentaire"/>
    <w:uiPriority w:val="99"/>
    <w:semiHidden/>
    <w:rsid w:val="00701B5D"/>
    <w:rPr>
      <w:b/>
      <w:bCs/>
      <w:sz w:val="20"/>
      <w:szCs w:val="20"/>
    </w:rPr>
  </w:style>
  <w:style w:type="paragraph" w:styleId="Sansinterligne">
    <w:name w:val="No Spacing"/>
    <w:uiPriority w:val="1"/>
    <w:qFormat/>
    <w:rsid w:val="00330C2D"/>
    <w:pPr>
      <w:spacing w:after="0" w:line="240" w:lineRule="auto"/>
    </w:pPr>
  </w:style>
  <w:style w:type="paragraph" w:styleId="NormalWeb">
    <w:name w:val="Normal (Web)"/>
    <w:basedOn w:val="Normal"/>
    <w:uiPriority w:val="99"/>
    <w:unhideWhenUsed/>
    <w:rsid w:val="00EF2D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7436BD"/>
    <w:pPr>
      <w:spacing w:after="0" w:line="240" w:lineRule="auto"/>
    </w:pPr>
  </w:style>
  <w:style w:type="paragraph" w:customStyle="1" w:styleId="Default">
    <w:name w:val="Default"/>
    <w:rsid w:val="00F77E6A"/>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26077">
      <w:bodyDiv w:val="1"/>
      <w:marLeft w:val="0"/>
      <w:marRight w:val="0"/>
      <w:marTop w:val="0"/>
      <w:marBottom w:val="0"/>
      <w:divBdr>
        <w:top w:val="none" w:sz="0" w:space="0" w:color="auto"/>
        <w:left w:val="none" w:sz="0" w:space="0" w:color="auto"/>
        <w:bottom w:val="none" w:sz="0" w:space="0" w:color="auto"/>
        <w:right w:val="none" w:sz="0" w:space="0" w:color="auto"/>
      </w:divBdr>
    </w:div>
    <w:div w:id="230963363">
      <w:bodyDiv w:val="1"/>
      <w:marLeft w:val="0"/>
      <w:marRight w:val="0"/>
      <w:marTop w:val="0"/>
      <w:marBottom w:val="0"/>
      <w:divBdr>
        <w:top w:val="none" w:sz="0" w:space="0" w:color="auto"/>
        <w:left w:val="none" w:sz="0" w:space="0" w:color="auto"/>
        <w:bottom w:val="none" w:sz="0" w:space="0" w:color="auto"/>
        <w:right w:val="none" w:sz="0" w:space="0" w:color="auto"/>
      </w:divBdr>
    </w:div>
    <w:div w:id="337661294">
      <w:bodyDiv w:val="1"/>
      <w:marLeft w:val="0"/>
      <w:marRight w:val="0"/>
      <w:marTop w:val="0"/>
      <w:marBottom w:val="0"/>
      <w:divBdr>
        <w:top w:val="none" w:sz="0" w:space="0" w:color="auto"/>
        <w:left w:val="none" w:sz="0" w:space="0" w:color="auto"/>
        <w:bottom w:val="none" w:sz="0" w:space="0" w:color="auto"/>
        <w:right w:val="none" w:sz="0" w:space="0" w:color="auto"/>
      </w:divBdr>
    </w:div>
    <w:div w:id="342902354">
      <w:bodyDiv w:val="1"/>
      <w:marLeft w:val="0"/>
      <w:marRight w:val="0"/>
      <w:marTop w:val="0"/>
      <w:marBottom w:val="0"/>
      <w:divBdr>
        <w:top w:val="none" w:sz="0" w:space="0" w:color="auto"/>
        <w:left w:val="none" w:sz="0" w:space="0" w:color="auto"/>
        <w:bottom w:val="none" w:sz="0" w:space="0" w:color="auto"/>
        <w:right w:val="none" w:sz="0" w:space="0" w:color="auto"/>
      </w:divBdr>
    </w:div>
    <w:div w:id="792872439">
      <w:bodyDiv w:val="1"/>
      <w:marLeft w:val="0"/>
      <w:marRight w:val="0"/>
      <w:marTop w:val="0"/>
      <w:marBottom w:val="0"/>
      <w:divBdr>
        <w:top w:val="none" w:sz="0" w:space="0" w:color="auto"/>
        <w:left w:val="none" w:sz="0" w:space="0" w:color="auto"/>
        <w:bottom w:val="none" w:sz="0" w:space="0" w:color="auto"/>
        <w:right w:val="none" w:sz="0" w:space="0" w:color="auto"/>
      </w:divBdr>
    </w:div>
    <w:div w:id="813108659">
      <w:bodyDiv w:val="1"/>
      <w:marLeft w:val="0"/>
      <w:marRight w:val="0"/>
      <w:marTop w:val="0"/>
      <w:marBottom w:val="0"/>
      <w:divBdr>
        <w:top w:val="none" w:sz="0" w:space="0" w:color="auto"/>
        <w:left w:val="none" w:sz="0" w:space="0" w:color="auto"/>
        <w:bottom w:val="none" w:sz="0" w:space="0" w:color="auto"/>
        <w:right w:val="none" w:sz="0" w:space="0" w:color="auto"/>
      </w:divBdr>
    </w:div>
    <w:div w:id="1029182441">
      <w:bodyDiv w:val="1"/>
      <w:marLeft w:val="0"/>
      <w:marRight w:val="0"/>
      <w:marTop w:val="0"/>
      <w:marBottom w:val="0"/>
      <w:divBdr>
        <w:top w:val="none" w:sz="0" w:space="0" w:color="auto"/>
        <w:left w:val="none" w:sz="0" w:space="0" w:color="auto"/>
        <w:bottom w:val="none" w:sz="0" w:space="0" w:color="auto"/>
        <w:right w:val="none" w:sz="0" w:space="0" w:color="auto"/>
      </w:divBdr>
    </w:div>
    <w:div w:id="1158616502">
      <w:bodyDiv w:val="1"/>
      <w:marLeft w:val="0"/>
      <w:marRight w:val="0"/>
      <w:marTop w:val="0"/>
      <w:marBottom w:val="0"/>
      <w:divBdr>
        <w:top w:val="none" w:sz="0" w:space="0" w:color="auto"/>
        <w:left w:val="none" w:sz="0" w:space="0" w:color="auto"/>
        <w:bottom w:val="none" w:sz="0" w:space="0" w:color="auto"/>
        <w:right w:val="none" w:sz="0" w:space="0" w:color="auto"/>
      </w:divBdr>
    </w:div>
    <w:div w:id="1196772933">
      <w:bodyDiv w:val="1"/>
      <w:marLeft w:val="0"/>
      <w:marRight w:val="0"/>
      <w:marTop w:val="0"/>
      <w:marBottom w:val="0"/>
      <w:divBdr>
        <w:top w:val="none" w:sz="0" w:space="0" w:color="auto"/>
        <w:left w:val="none" w:sz="0" w:space="0" w:color="auto"/>
        <w:bottom w:val="none" w:sz="0" w:space="0" w:color="auto"/>
        <w:right w:val="none" w:sz="0" w:space="0" w:color="auto"/>
      </w:divBdr>
    </w:div>
    <w:div w:id="1390305867">
      <w:bodyDiv w:val="1"/>
      <w:marLeft w:val="0"/>
      <w:marRight w:val="0"/>
      <w:marTop w:val="0"/>
      <w:marBottom w:val="0"/>
      <w:divBdr>
        <w:top w:val="none" w:sz="0" w:space="0" w:color="auto"/>
        <w:left w:val="none" w:sz="0" w:space="0" w:color="auto"/>
        <w:bottom w:val="none" w:sz="0" w:space="0" w:color="auto"/>
        <w:right w:val="none" w:sz="0" w:space="0" w:color="auto"/>
      </w:divBdr>
    </w:div>
    <w:div w:id="1463570350">
      <w:bodyDiv w:val="1"/>
      <w:marLeft w:val="0"/>
      <w:marRight w:val="0"/>
      <w:marTop w:val="0"/>
      <w:marBottom w:val="0"/>
      <w:divBdr>
        <w:top w:val="none" w:sz="0" w:space="0" w:color="auto"/>
        <w:left w:val="none" w:sz="0" w:space="0" w:color="auto"/>
        <w:bottom w:val="none" w:sz="0" w:space="0" w:color="auto"/>
        <w:right w:val="none" w:sz="0" w:space="0" w:color="auto"/>
      </w:divBdr>
    </w:div>
    <w:div w:id="1545169871">
      <w:bodyDiv w:val="1"/>
      <w:marLeft w:val="0"/>
      <w:marRight w:val="0"/>
      <w:marTop w:val="0"/>
      <w:marBottom w:val="0"/>
      <w:divBdr>
        <w:top w:val="none" w:sz="0" w:space="0" w:color="auto"/>
        <w:left w:val="none" w:sz="0" w:space="0" w:color="auto"/>
        <w:bottom w:val="none" w:sz="0" w:space="0" w:color="auto"/>
        <w:right w:val="none" w:sz="0" w:space="0" w:color="auto"/>
      </w:divBdr>
    </w:div>
    <w:div w:id="1573655518">
      <w:bodyDiv w:val="1"/>
      <w:marLeft w:val="0"/>
      <w:marRight w:val="0"/>
      <w:marTop w:val="0"/>
      <w:marBottom w:val="0"/>
      <w:divBdr>
        <w:top w:val="none" w:sz="0" w:space="0" w:color="auto"/>
        <w:left w:val="none" w:sz="0" w:space="0" w:color="auto"/>
        <w:bottom w:val="none" w:sz="0" w:space="0" w:color="auto"/>
        <w:right w:val="none" w:sz="0" w:space="0" w:color="auto"/>
      </w:divBdr>
    </w:div>
    <w:div w:id="1612931545">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88498196">
      <w:bodyDiv w:val="1"/>
      <w:marLeft w:val="0"/>
      <w:marRight w:val="0"/>
      <w:marTop w:val="0"/>
      <w:marBottom w:val="0"/>
      <w:divBdr>
        <w:top w:val="none" w:sz="0" w:space="0" w:color="auto"/>
        <w:left w:val="none" w:sz="0" w:space="0" w:color="auto"/>
        <w:bottom w:val="none" w:sz="0" w:space="0" w:color="auto"/>
        <w:right w:val="none" w:sz="0" w:space="0" w:color="auto"/>
      </w:divBdr>
    </w:div>
    <w:div w:id="1817911545">
      <w:bodyDiv w:val="1"/>
      <w:marLeft w:val="0"/>
      <w:marRight w:val="0"/>
      <w:marTop w:val="0"/>
      <w:marBottom w:val="0"/>
      <w:divBdr>
        <w:top w:val="none" w:sz="0" w:space="0" w:color="auto"/>
        <w:left w:val="none" w:sz="0" w:space="0" w:color="auto"/>
        <w:bottom w:val="none" w:sz="0" w:space="0" w:color="auto"/>
        <w:right w:val="none" w:sz="0" w:space="0" w:color="auto"/>
      </w:divBdr>
    </w:div>
    <w:div w:id="1861359097">
      <w:bodyDiv w:val="1"/>
      <w:marLeft w:val="0"/>
      <w:marRight w:val="0"/>
      <w:marTop w:val="0"/>
      <w:marBottom w:val="0"/>
      <w:divBdr>
        <w:top w:val="none" w:sz="0" w:space="0" w:color="auto"/>
        <w:left w:val="none" w:sz="0" w:space="0" w:color="auto"/>
        <w:bottom w:val="none" w:sz="0" w:space="0" w:color="auto"/>
        <w:right w:val="none" w:sz="0" w:space="0" w:color="auto"/>
      </w:divBdr>
    </w:div>
    <w:div w:id="1883130471">
      <w:bodyDiv w:val="1"/>
      <w:marLeft w:val="0"/>
      <w:marRight w:val="0"/>
      <w:marTop w:val="0"/>
      <w:marBottom w:val="0"/>
      <w:divBdr>
        <w:top w:val="none" w:sz="0" w:space="0" w:color="auto"/>
        <w:left w:val="none" w:sz="0" w:space="0" w:color="auto"/>
        <w:bottom w:val="none" w:sz="0" w:space="0" w:color="auto"/>
        <w:right w:val="none" w:sz="0" w:space="0" w:color="auto"/>
      </w:divBdr>
    </w:div>
    <w:div w:id="1963413748">
      <w:bodyDiv w:val="1"/>
      <w:marLeft w:val="0"/>
      <w:marRight w:val="0"/>
      <w:marTop w:val="0"/>
      <w:marBottom w:val="0"/>
      <w:divBdr>
        <w:top w:val="none" w:sz="0" w:space="0" w:color="auto"/>
        <w:left w:val="none" w:sz="0" w:space="0" w:color="auto"/>
        <w:bottom w:val="none" w:sz="0" w:space="0" w:color="auto"/>
        <w:right w:val="none" w:sz="0" w:space="0" w:color="auto"/>
      </w:divBdr>
    </w:div>
    <w:div w:id="1998410676">
      <w:bodyDiv w:val="1"/>
      <w:marLeft w:val="0"/>
      <w:marRight w:val="0"/>
      <w:marTop w:val="0"/>
      <w:marBottom w:val="0"/>
      <w:divBdr>
        <w:top w:val="none" w:sz="0" w:space="0" w:color="auto"/>
        <w:left w:val="none" w:sz="0" w:space="0" w:color="auto"/>
        <w:bottom w:val="none" w:sz="0" w:space="0" w:color="auto"/>
        <w:right w:val="none" w:sz="0" w:space="0" w:color="auto"/>
      </w:divBdr>
    </w:div>
    <w:div w:id="21266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B64245E8C943AB90D04A548EC969" ma:contentTypeVersion="8" ma:contentTypeDescription="Crée un document." ma:contentTypeScope="" ma:versionID="a8201ef8639d61a463f6e616c05337be">
  <xsd:schema xmlns:xsd="http://www.w3.org/2001/XMLSchema" xmlns:xs="http://www.w3.org/2001/XMLSchema" xmlns:p="http://schemas.microsoft.com/office/2006/metadata/properties" xmlns:ns2="40598c5b-eb8b-44b6-acb4-096b356a2fab" xmlns:ns3="b90ad063-18ad-4023-a8d9-ba1a0d0e66b8" targetNamespace="http://schemas.microsoft.com/office/2006/metadata/properties" ma:root="true" ma:fieldsID="70c4c21c15fc73b1107b28d365f30db9" ns2:_="" ns3:_="">
    <xsd:import namespace="40598c5b-eb8b-44b6-acb4-096b356a2fab"/>
    <xsd:import namespace="b90ad063-18ad-4023-a8d9-ba1a0d0e66b8"/>
    <xsd:element name="properties">
      <xsd:complexType>
        <xsd:sequence>
          <xsd:element name="documentManagement">
            <xsd:complexType>
              <xsd:all>
                <xsd:element ref="ns2:Type_x0020_de_x0020_document" minOccurs="0"/>
                <xsd:element ref="ns2:e03f3dd452ed4d79aff0ab23e5d8c1b6"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8c5b-eb8b-44b6-acb4-096b356a2fab" elementFormDefault="qualified">
    <xsd:import namespace="http://schemas.microsoft.com/office/2006/documentManagement/types"/>
    <xsd:import namespace="http://schemas.microsoft.com/office/infopath/2007/PartnerControls"/>
    <xsd:element name="Type_x0020_de_x0020_document" ma:index="8" nillable="true" ma:displayName="Type de document" ma:format="Dropdown" ma:internalName="Type_x0020_de_x0020_document">
      <xsd:simpleType>
        <xsd:restriction base="dms:Choice">
          <xsd:enumeration value="Word"/>
          <xsd:enumeration value="Powerpoint"/>
          <xsd:enumeration value="Excel"/>
          <xsd:enumeration value="PDF"/>
          <xsd:enumeration value="Autre"/>
        </xsd:restriction>
      </xsd:simpleType>
    </xsd:element>
    <xsd:element name="e03f3dd452ed4d79aff0ab23e5d8c1b6" ma:index="10" ma:taxonomy="true" ma:internalName="e03f3dd452ed4d79aff0ab23e5d8c1b6" ma:taxonomyFieldName="Th_x00e8_mes_x0020_du_x0020_document" ma:displayName="Thèmes du document" ma:readOnly="false" ma:default="1;#SEE|81099eea-3737-4fde-9257-bfa293ae1818" ma:fieldId="{e03f3dd4-52ed-4d79-aff0-ab23e5d8c1b6}" ma:taxonomyMulti="true" ma:sspId="16fb23be-d400-4d26-b240-6ede1ba76c2a" ma:termSetId="c1980e8c-4c88-4cf8-9104-98d37fd01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ad063-18ad-4023-a8d9-ba1a0d0e66b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9cd5039-f872-497a-b846-607916489662}" ma:internalName="TaxCatchAll" ma:showField="CatchAllData" ma:web="b90ad063-18ad-4023-a8d9-ba1a0d0e66b8">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0ad063-18ad-4023-a8d9-ba1a0d0e66b8">
      <Value>27</Value>
    </TaxCatchAll>
    <Type_x0020_de_x0020_document xmlns="40598c5b-eb8b-44b6-acb4-096b356a2fab" xsi:nil="true"/>
    <e03f3dd452ed4d79aff0ab23e5d8c1b6 xmlns="40598c5b-eb8b-44b6-acb4-096b356a2fab">
      <Terms xmlns="http://schemas.microsoft.com/office/infopath/2007/PartnerControls">
        <TermInfo xmlns="http://schemas.microsoft.com/office/infopath/2007/PartnerControls">
          <TermName xmlns="http://schemas.microsoft.com/office/infopath/2007/PartnerControls">Documents provisoires</TermName>
          <TermId xmlns="http://schemas.microsoft.com/office/infopath/2007/PartnerControls">30b414c5-c73a-4a2f-bfe1-8284126dc5b0</TermId>
        </TermInfo>
      </Terms>
    </e03f3dd452ed4d79aff0ab23e5d8c1b6>
    <SharedWithUsers xmlns="b90ad063-18ad-4023-a8d9-ba1a0d0e66b8">
      <UserInfo>
        <DisplayName>CHAPEAUX Loïc ( FFB DAEFI )</DisplayName>
        <AccountId>18</AccountId>
        <AccountType/>
      </UserInfo>
      <UserInfo>
        <DisplayName>REYES HUBER Ximena ( FFB DAEFI )</DisplayName>
        <AccountId>25</AccountId>
        <AccountType/>
      </UserInfo>
      <UserInfo>
        <DisplayName>WANDE Alfred ( FFB DAEFI/DCP )</DisplayName>
        <AccountId>50</AccountId>
        <AccountType/>
      </UserInfo>
      <UserInfo>
        <DisplayName>PARTOUCHE Denise ( FFB DAEFI/SEE )</DisplayName>
        <AccountId>54</AccountId>
        <AccountType/>
      </UserInfo>
      <UserInfo>
        <DisplayName>DUSSAUX Hélène ( FFB DAEFI/SEE )</DisplayName>
        <AccountId>26</AccountId>
        <AccountType/>
      </UserInfo>
      <UserInfo>
        <DisplayName>ALLINE Nicolas ( FFB DAEFI/SEE )</DisplayName>
        <AccountId>42</AccountId>
        <AccountType/>
      </UserInfo>
      <UserInfo>
        <DisplayName>VESSILLIER Delphine ( FFB DAEFI/SEES )</DisplayName>
        <AccountId>28</AccountId>
        <AccountType/>
      </UserInfo>
      <UserInfo>
        <DisplayName>PARSY Nathalie ( FFB DAEFI/SEES )</DisplayName>
        <AccountId>43</AccountId>
        <AccountType/>
      </UserInfo>
      <UserInfo>
        <DisplayName>MEDANI Sidina ( FFB DAEFI/SEES )</DisplayName>
        <AccountId>44</AccountId>
        <AccountType/>
      </UserInfo>
      <UserInfo>
        <DisplayName>DIALLO Myriam ( FFB DAEFI/QI )</DisplayName>
        <AccountId>19</AccountId>
        <AccountType/>
      </UserInfo>
      <UserInfo>
        <DisplayName>PROMEYRAT Antoine ( FFB DAEFI/DCP )</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B086F-3BB6-427E-AFC2-0FD14C3D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8c5b-eb8b-44b6-acb4-096b356a2fab"/>
    <ds:schemaRef ds:uri="b90ad063-18ad-4023-a8d9-ba1a0d0e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2FD89-651D-49F5-A6DC-DA9EB4B1F50D}">
  <ds:schemaRefs>
    <ds:schemaRef ds:uri="http://schemas.microsoft.com/office/2006/documentManagement/types"/>
    <ds:schemaRef ds:uri="b90ad063-18ad-4023-a8d9-ba1a0d0e66b8"/>
    <ds:schemaRef ds:uri="http://www.w3.org/XML/1998/namespace"/>
    <ds:schemaRef ds:uri="http://purl.org/dc/terms/"/>
    <ds:schemaRef ds:uri="http://schemas.openxmlformats.org/package/2006/metadata/core-properties"/>
    <ds:schemaRef ds:uri="40598c5b-eb8b-44b6-acb4-096b356a2fab"/>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88C0D9-92EC-47F4-AD73-BD7295074AD3}">
  <ds:schemaRefs>
    <ds:schemaRef ds:uri="http://schemas.openxmlformats.org/officeDocument/2006/bibliography"/>
  </ds:schemaRefs>
</ds:datastoreItem>
</file>

<file path=customXml/itemProps4.xml><?xml version="1.0" encoding="utf-8"?>
<ds:datastoreItem xmlns:ds="http://schemas.openxmlformats.org/officeDocument/2006/customXml" ds:itemID="{306B2621-3F2D-4972-9254-2269A043D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4007</Words>
  <Characters>22044</Characters>
  <Application>Microsoft Office Word</Application>
  <DocSecurity>4</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FFB</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Eric ( FFB SEE )</dc:creator>
  <cp:keywords>2024</cp:keywords>
  <dc:description/>
  <cp:lastModifiedBy>CUCHEVAL Anaïk ( FFB Editions Presse et communication )</cp:lastModifiedBy>
  <cp:revision>2</cp:revision>
  <cp:lastPrinted>2019-09-10T05:53:00Z</cp:lastPrinted>
  <dcterms:created xsi:type="dcterms:W3CDTF">2024-12-16T19:26:00Z</dcterms:created>
  <dcterms:modified xsi:type="dcterms:W3CDTF">2024-12-16T19:26:00Z</dcterms:modified>
  <cp:category>Conférences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0x010100FC0EB64245E8C943AB90D04A548EC969</vt:lpwstr>
  </property>
  <property fmtid="{D5CDD505-2E9C-101B-9397-08002B2CF9AE}" pid="3" name="IsMyDocuments">
    <vt:bool>true</vt:bool>
  </property>
  <property fmtid="{D5CDD505-2E9C-101B-9397-08002B2CF9AE}" pid="4" name="Thèmes du document">
    <vt:lpwstr>27;#Documents provisoires|30b414c5-c73a-4a2f-bfe1-8284126dc5b0</vt:lpwstr>
  </property>
  <property fmtid="{D5CDD505-2E9C-101B-9397-08002B2CF9AE}" pid="5" name="MSIP_Label_1e275c48-540b-4531-9942-dfd8903bc3f9_Enabled">
    <vt:lpwstr>true</vt:lpwstr>
  </property>
  <property fmtid="{D5CDD505-2E9C-101B-9397-08002B2CF9AE}" pid="6" name="MSIP_Label_1e275c48-540b-4531-9942-dfd8903bc3f9_SetDate">
    <vt:lpwstr>2022-12-13T09:44:07Z</vt:lpwstr>
  </property>
  <property fmtid="{D5CDD505-2E9C-101B-9397-08002B2CF9AE}" pid="7" name="MSIP_Label_1e275c48-540b-4531-9942-dfd8903bc3f9_Method">
    <vt:lpwstr>Privileged</vt:lpwstr>
  </property>
  <property fmtid="{D5CDD505-2E9C-101B-9397-08002B2CF9AE}" pid="8" name="MSIP_Label_1e275c48-540b-4531-9942-dfd8903bc3f9_Name">
    <vt:lpwstr>1e275c48-540b-4531-9942-dfd8903bc3f9</vt:lpwstr>
  </property>
  <property fmtid="{D5CDD505-2E9C-101B-9397-08002B2CF9AE}" pid="9" name="MSIP_Label_1e275c48-540b-4531-9942-dfd8903bc3f9_SiteId">
    <vt:lpwstr>92410b1b-4b46-4710-b23c-c3a3814046a4</vt:lpwstr>
  </property>
  <property fmtid="{D5CDD505-2E9C-101B-9397-08002B2CF9AE}" pid="10" name="MSIP_Label_1e275c48-540b-4531-9942-dfd8903bc3f9_ActionId">
    <vt:lpwstr>afa3ead1-8651-4245-847d-2becbc083800</vt:lpwstr>
  </property>
  <property fmtid="{D5CDD505-2E9C-101B-9397-08002B2CF9AE}" pid="11" name="MSIP_Label_1e275c48-540b-4531-9942-dfd8903bc3f9_ContentBits">
    <vt:lpwstr>0</vt:lpwstr>
  </property>
</Properties>
</file>