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DB252" w14:textId="77777777" w:rsidR="00766988" w:rsidRPr="006F3E14" w:rsidRDefault="00766988" w:rsidP="006F3E14">
      <w:pPr>
        <w:spacing w:after="0" w:line="360" w:lineRule="auto"/>
        <w:jc w:val="center"/>
        <w:rPr>
          <w:rFonts w:ascii="Arial" w:eastAsia="Times New Roman" w:hAnsi="Arial" w:cs="Arial"/>
          <w:lang w:eastAsia="fr-FR"/>
        </w:rPr>
      </w:pPr>
    </w:p>
    <w:p w14:paraId="18B0311B" w14:textId="71DE0679" w:rsidR="00EF01E5" w:rsidRDefault="00C10324" w:rsidP="000D4D9A">
      <w:pPr>
        <w:spacing w:after="0" w:line="360" w:lineRule="auto"/>
        <w:jc w:val="center"/>
        <w:rPr>
          <w:rFonts w:ascii="Arial" w:eastAsia="Times New Roman" w:hAnsi="Arial" w:cs="Arial"/>
          <w:b/>
          <w:sz w:val="36"/>
          <w:szCs w:val="36"/>
          <w:u w:val="single"/>
          <w:lang w:eastAsia="fr-FR"/>
        </w:rPr>
      </w:pPr>
      <w:r>
        <w:rPr>
          <w:rFonts w:ascii="Arial" w:eastAsia="Times New Roman" w:hAnsi="Arial" w:cs="Arial"/>
          <w:b/>
          <w:sz w:val="36"/>
          <w:szCs w:val="36"/>
          <w:u w:val="single"/>
          <w:lang w:eastAsia="fr-FR"/>
        </w:rPr>
        <w:t xml:space="preserve">Conjoncture à </w:t>
      </w:r>
      <w:r w:rsidR="00A1367F">
        <w:rPr>
          <w:rFonts w:ascii="Arial" w:eastAsia="Times New Roman" w:hAnsi="Arial" w:cs="Arial"/>
          <w:b/>
          <w:sz w:val="36"/>
          <w:szCs w:val="36"/>
          <w:u w:val="single"/>
          <w:lang w:eastAsia="fr-FR"/>
        </w:rPr>
        <w:t xml:space="preserve">début </w:t>
      </w:r>
      <w:r w:rsidR="009253CC">
        <w:rPr>
          <w:rFonts w:ascii="Arial" w:eastAsia="Times New Roman" w:hAnsi="Arial" w:cs="Arial"/>
          <w:b/>
          <w:sz w:val="36"/>
          <w:szCs w:val="36"/>
          <w:u w:val="single"/>
          <w:lang w:eastAsia="fr-FR"/>
        </w:rPr>
        <w:t>septembre</w:t>
      </w:r>
      <w:r w:rsidR="00374E75">
        <w:rPr>
          <w:rFonts w:ascii="Arial" w:eastAsia="Times New Roman" w:hAnsi="Arial" w:cs="Arial"/>
          <w:b/>
          <w:sz w:val="36"/>
          <w:szCs w:val="36"/>
          <w:u w:val="single"/>
          <w:lang w:eastAsia="fr-FR"/>
        </w:rPr>
        <w:t xml:space="preserve"> </w:t>
      </w:r>
      <w:r w:rsidR="00FF7D82">
        <w:rPr>
          <w:rFonts w:ascii="Arial" w:eastAsia="Times New Roman" w:hAnsi="Arial" w:cs="Arial"/>
          <w:b/>
          <w:sz w:val="36"/>
          <w:szCs w:val="36"/>
          <w:u w:val="single"/>
          <w:lang w:eastAsia="fr-FR"/>
        </w:rPr>
        <w:t>2024</w:t>
      </w:r>
    </w:p>
    <w:p w14:paraId="25F57466" w14:textId="77777777" w:rsidR="00766988" w:rsidRPr="00766988" w:rsidRDefault="00766988" w:rsidP="00766988">
      <w:pPr>
        <w:spacing w:after="0" w:line="360" w:lineRule="auto"/>
        <w:jc w:val="both"/>
        <w:rPr>
          <w:rFonts w:ascii="Arial" w:eastAsia="Times New Roman" w:hAnsi="Arial" w:cs="Arial"/>
          <w:lang w:eastAsia="fr-FR"/>
        </w:rPr>
      </w:pPr>
    </w:p>
    <w:tbl>
      <w:tblPr>
        <w:tblStyle w:val="Grilledutableau"/>
        <w:tblW w:w="0" w:type="auto"/>
        <w:tblLook w:val="04A0" w:firstRow="1" w:lastRow="0" w:firstColumn="1" w:lastColumn="0" w:noHBand="0" w:noVBand="1"/>
      </w:tblPr>
      <w:tblGrid>
        <w:gridCol w:w="9062"/>
      </w:tblGrid>
      <w:tr w:rsidR="00EF01E5" w:rsidRPr="00144715" w14:paraId="50463381" w14:textId="77777777" w:rsidTr="00EF01E5">
        <w:tc>
          <w:tcPr>
            <w:tcW w:w="9062" w:type="dxa"/>
          </w:tcPr>
          <w:p w14:paraId="246D281A" w14:textId="2F9E3757" w:rsidR="00767CB6" w:rsidRPr="00767CB6" w:rsidRDefault="00024E10" w:rsidP="00767CB6">
            <w:pPr>
              <w:pBdr>
                <w:top w:val="single" w:sz="2" w:space="1" w:color="auto"/>
                <w:left w:val="single" w:sz="2" w:space="4" w:color="auto"/>
                <w:bottom w:val="single" w:sz="2" w:space="1" w:color="auto"/>
                <w:right w:val="single" w:sz="2" w:space="4" w:color="auto"/>
              </w:pBdr>
              <w:spacing w:line="312" w:lineRule="auto"/>
              <w:jc w:val="both"/>
              <w:rPr>
                <w:rFonts w:ascii="Arial" w:hAnsi="Arial" w:cs="Arial"/>
                <w:b/>
              </w:rPr>
            </w:pPr>
            <w:r>
              <w:rPr>
                <w:rFonts w:ascii="Arial" w:hAnsi="Arial" w:cs="Arial"/>
                <w:b/>
              </w:rPr>
              <w:t>Malgré la baisse des taux d’intérêt, l</w:t>
            </w:r>
            <w:r w:rsidR="00B11975">
              <w:rPr>
                <w:rFonts w:ascii="Arial" w:hAnsi="Arial" w:cs="Arial"/>
                <w:b/>
              </w:rPr>
              <w:t>a dégradation du</w:t>
            </w:r>
            <w:r w:rsidR="00B11975" w:rsidRPr="00EB3CB4">
              <w:rPr>
                <w:rFonts w:ascii="Arial" w:hAnsi="Arial" w:cs="Arial"/>
                <w:b/>
              </w:rPr>
              <w:t xml:space="preserve"> logement </w:t>
            </w:r>
            <w:r w:rsidR="00B11975" w:rsidRPr="00F83E13">
              <w:rPr>
                <w:rFonts w:ascii="Arial" w:hAnsi="Arial" w:cs="Arial"/>
                <w:b/>
              </w:rPr>
              <w:t>neuf</w:t>
            </w:r>
            <w:r w:rsidR="00B11975">
              <w:rPr>
                <w:rFonts w:ascii="Arial" w:hAnsi="Arial" w:cs="Arial"/>
                <w:b/>
              </w:rPr>
              <w:t xml:space="preserve"> reste d’actualité. De fait, à fin juillet, les mises en chantier et permis reculent encore </w:t>
            </w:r>
            <w:r w:rsidR="00B11975" w:rsidRPr="00F83E13">
              <w:rPr>
                <w:rFonts w:ascii="Arial" w:hAnsi="Arial" w:cs="Arial"/>
                <w:b/>
              </w:rPr>
              <w:t xml:space="preserve">respectivement </w:t>
            </w:r>
            <w:r w:rsidR="00B11975">
              <w:rPr>
                <w:rFonts w:ascii="Arial" w:hAnsi="Arial" w:cs="Arial"/>
                <w:b/>
              </w:rPr>
              <w:t>de 13,4 % et 9,9 % entre les sept premiers mois 2023 et 2024</w:t>
            </w:r>
            <w:r>
              <w:rPr>
                <w:rFonts w:ascii="Arial" w:hAnsi="Arial" w:cs="Arial"/>
                <w:b/>
              </w:rPr>
              <w:t>. Le mouvement se modère toutefois,</w:t>
            </w:r>
            <w:r w:rsidR="00B11975">
              <w:rPr>
                <w:rFonts w:ascii="Arial" w:hAnsi="Arial" w:cs="Arial"/>
                <w:b/>
              </w:rPr>
              <w:t xml:space="preserve"> les baisse</w:t>
            </w:r>
            <w:r w:rsidR="00E17237">
              <w:rPr>
                <w:rFonts w:ascii="Arial" w:hAnsi="Arial" w:cs="Arial"/>
                <w:b/>
              </w:rPr>
              <w:t>s</w:t>
            </w:r>
            <w:r w:rsidR="00B11975">
              <w:rPr>
                <w:rFonts w:ascii="Arial" w:hAnsi="Arial" w:cs="Arial"/>
                <w:b/>
              </w:rPr>
              <w:t xml:space="preserve"> ne </w:t>
            </w:r>
            <w:r>
              <w:rPr>
                <w:rFonts w:ascii="Arial" w:hAnsi="Arial" w:cs="Arial"/>
                <w:b/>
              </w:rPr>
              <w:t xml:space="preserve">ressortant </w:t>
            </w:r>
            <w:r w:rsidR="00B11975">
              <w:rPr>
                <w:rFonts w:ascii="Arial" w:hAnsi="Arial" w:cs="Arial"/>
                <w:b/>
              </w:rPr>
              <w:t>« plus qu’à » 4,3 % et 6,4 % sur trois mois</w:t>
            </w:r>
            <w:r w:rsidR="00B11975" w:rsidRPr="00EB3CB4">
              <w:rPr>
                <w:rFonts w:ascii="Arial" w:hAnsi="Arial" w:cs="Arial"/>
                <w:b/>
              </w:rPr>
              <w:t>.</w:t>
            </w:r>
            <w:r w:rsidR="00B11975">
              <w:rPr>
                <w:rFonts w:ascii="Arial" w:hAnsi="Arial" w:cs="Arial"/>
                <w:b/>
              </w:rPr>
              <w:t xml:space="preserve"> Le collectif explique à lui seul le </w:t>
            </w:r>
            <w:r>
              <w:rPr>
                <w:rFonts w:ascii="Arial" w:hAnsi="Arial" w:cs="Arial"/>
                <w:b/>
              </w:rPr>
              <w:t>tass</w:t>
            </w:r>
            <w:r w:rsidR="00B11975">
              <w:rPr>
                <w:rFonts w:ascii="Arial" w:hAnsi="Arial" w:cs="Arial"/>
                <w:b/>
              </w:rPr>
              <w:t xml:space="preserve">ement sur les ouvertures de chantier, </w:t>
            </w:r>
            <w:r>
              <w:rPr>
                <w:rFonts w:ascii="Arial" w:hAnsi="Arial" w:cs="Arial"/>
                <w:b/>
              </w:rPr>
              <w:t>lié aux</w:t>
            </w:r>
            <w:r w:rsidR="00B11975">
              <w:rPr>
                <w:rFonts w:ascii="Arial" w:hAnsi="Arial" w:cs="Arial"/>
                <w:b/>
              </w:rPr>
              <w:t xml:space="preserve"> ventes à institutionnels (programme </w:t>
            </w:r>
            <w:r>
              <w:rPr>
                <w:rFonts w:ascii="Arial" w:hAnsi="Arial" w:cs="Arial"/>
                <w:b/>
              </w:rPr>
              <w:t xml:space="preserve">non pérenne </w:t>
            </w:r>
            <w:r w:rsidR="00B11975">
              <w:rPr>
                <w:rFonts w:ascii="Arial" w:hAnsi="Arial" w:cs="Arial"/>
                <w:b/>
              </w:rPr>
              <w:t>de rachat du stock des promoteurs par Action Logement et CDC Habitat), mais les permis continuent de reculer d’environ 5 % sur un an. Quant à l’individuel, les autorisations recule</w:t>
            </w:r>
            <w:r>
              <w:rPr>
                <w:rFonts w:ascii="Arial" w:hAnsi="Arial" w:cs="Arial"/>
                <w:b/>
              </w:rPr>
              <w:t>nt</w:t>
            </w:r>
            <w:r w:rsidR="00B11975">
              <w:rPr>
                <w:rFonts w:ascii="Arial" w:hAnsi="Arial" w:cs="Arial"/>
                <w:b/>
              </w:rPr>
              <w:t xml:space="preserve"> moins vite sur la période récente (-8,4 %), </w:t>
            </w:r>
            <w:r w:rsidR="00767CB6" w:rsidRPr="00767CB6">
              <w:rPr>
                <w:rFonts w:ascii="Arial" w:hAnsi="Arial" w:cs="Arial"/>
                <w:b/>
              </w:rPr>
              <w:t xml:space="preserve">dans la lignée des ventes </w:t>
            </w:r>
            <w:r w:rsidR="00767CB6">
              <w:rPr>
                <w:rFonts w:ascii="Arial" w:hAnsi="Arial" w:cs="Arial"/>
                <w:b/>
              </w:rPr>
              <w:t>du secteur</w:t>
            </w:r>
            <w:r w:rsidR="00767CB6" w:rsidRPr="00767CB6">
              <w:rPr>
                <w:rFonts w:ascii="Arial" w:hAnsi="Arial" w:cs="Arial"/>
                <w:b/>
              </w:rPr>
              <w:t xml:space="preserve"> diffus </w:t>
            </w:r>
            <w:r w:rsidR="00767CB6">
              <w:rPr>
                <w:rFonts w:ascii="Arial" w:hAnsi="Arial" w:cs="Arial"/>
                <w:b/>
              </w:rPr>
              <w:t>(</w:t>
            </w:r>
            <w:r w:rsidR="00767CB6" w:rsidRPr="00767CB6">
              <w:rPr>
                <w:rFonts w:ascii="Arial" w:hAnsi="Arial" w:cs="Arial"/>
                <w:b/>
              </w:rPr>
              <w:t>-</w:t>
            </w:r>
            <w:r w:rsidR="00401785">
              <w:rPr>
                <w:rFonts w:ascii="Arial" w:hAnsi="Arial" w:cs="Arial"/>
                <w:b/>
              </w:rPr>
              <w:t> </w:t>
            </w:r>
            <w:r w:rsidR="00767CB6" w:rsidRPr="00767CB6">
              <w:rPr>
                <w:rFonts w:ascii="Arial" w:hAnsi="Arial" w:cs="Arial"/>
                <w:b/>
              </w:rPr>
              <w:t>13,1</w:t>
            </w:r>
            <w:r w:rsidR="00767CB6">
              <w:rPr>
                <w:rFonts w:ascii="Arial" w:hAnsi="Arial" w:cs="Arial"/>
                <w:b/>
              </w:rPr>
              <w:t> </w:t>
            </w:r>
            <w:r w:rsidR="00767CB6" w:rsidRPr="00767CB6">
              <w:rPr>
                <w:rFonts w:ascii="Arial" w:hAnsi="Arial" w:cs="Arial"/>
                <w:b/>
              </w:rPr>
              <w:t>%</w:t>
            </w:r>
            <w:r w:rsidR="00767CB6">
              <w:rPr>
                <w:rFonts w:ascii="Arial" w:hAnsi="Arial" w:cs="Arial"/>
                <w:b/>
              </w:rPr>
              <w:t>)</w:t>
            </w:r>
            <w:r w:rsidR="00767CB6" w:rsidRPr="00767CB6">
              <w:rPr>
                <w:rFonts w:ascii="Arial" w:hAnsi="Arial" w:cs="Arial"/>
                <w:b/>
              </w:rPr>
              <w:t>.</w:t>
            </w:r>
            <w:r w:rsidR="00767CB6">
              <w:rPr>
                <w:rFonts w:ascii="Arial" w:hAnsi="Arial" w:cs="Arial"/>
                <w:b/>
              </w:rPr>
              <w:t xml:space="preserve"> </w:t>
            </w:r>
            <w:r w:rsidR="00767CB6" w:rsidRPr="00767CB6">
              <w:rPr>
                <w:rFonts w:ascii="Arial" w:hAnsi="Arial" w:cs="Arial"/>
                <w:b/>
              </w:rPr>
              <w:t xml:space="preserve">Le point bas </w:t>
            </w:r>
            <w:r w:rsidR="00767CB6">
              <w:rPr>
                <w:rFonts w:ascii="Arial" w:hAnsi="Arial" w:cs="Arial"/>
                <w:b/>
              </w:rPr>
              <w:t>ne semble donc</w:t>
            </w:r>
            <w:r w:rsidR="00767CB6" w:rsidRPr="00767CB6">
              <w:rPr>
                <w:rFonts w:ascii="Arial" w:hAnsi="Arial" w:cs="Arial"/>
                <w:b/>
              </w:rPr>
              <w:t xml:space="preserve"> plus très loin sur ce segment</w:t>
            </w:r>
            <w:r w:rsidR="00767CB6">
              <w:rPr>
                <w:rFonts w:ascii="Arial" w:hAnsi="Arial" w:cs="Arial"/>
                <w:b/>
              </w:rPr>
              <w:t>, le premier à être entré dans la crise.</w:t>
            </w:r>
          </w:p>
          <w:p w14:paraId="1984479D" w14:textId="69D5470D" w:rsidR="00B11975" w:rsidRPr="00E13314" w:rsidRDefault="00B11975" w:rsidP="00B11975">
            <w:pPr>
              <w:pBdr>
                <w:top w:val="single" w:sz="2" w:space="1" w:color="auto"/>
                <w:left w:val="single" w:sz="2" w:space="4" w:color="auto"/>
                <w:bottom w:val="single" w:sz="2" w:space="1" w:color="auto"/>
                <w:right w:val="single" w:sz="2" w:space="4" w:color="auto"/>
              </w:pBdr>
              <w:spacing w:line="312" w:lineRule="auto"/>
              <w:jc w:val="both"/>
              <w:rPr>
                <w:rFonts w:ascii="Arial" w:hAnsi="Arial" w:cs="Arial"/>
                <w:b/>
              </w:rPr>
            </w:pPr>
            <w:r>
              <w:rPr>
                <w:rFonts w:ascii="Arial" w:hAnsi="Arial" w:cs="Arial"/>
                <w:b/>
              </w:rPr>
              <w:t>Quelques espoirs se confirment pour l</w:t>
            </w:r>
            <w:r w:rsidRPr="00E13314">
              <w:rPr>
                <w:rFonts w:ascii="Arial" w:hAnsi="Arial" w:cs="Arial"/>
                <w:b/>
              </w:rPr>
              <w:t>e non résidentiel neuf</w:t>
            </w:r>
            <w:r>
              <w:rPr>
                <w:rFonts w:ascii="Arial" w:hAnsi="Arial" w:cs="Arial"/>
                <w:b/>
              </w:rPr>
              <w:t>. Les</w:t>
            </w:r>
            <w:r w:rsidRPr="00E13314">
              <w:rPr>
                <w:rFonts w:ascii="Arial" w:hAnsi="Arial" w:cs="Arial"/>
                <w:b/>
              </w:rPr>
              <w:t xml:space="preserve"> surfaces commencées </w:t>
            </w:r>
            <w:r>
              <w:rPr>
                <w:rFonts w:ascii="Arial" w:hAnsi="Arial" w:cs="Arial"/>
                <w:b/>
              </w:rPr>
              <w:t xml:space="preserve">ne reculent plus que de 6,9 % et 2,0 % en glissement annuel sur sept et trois mois à fin juillet 2024, grâce à un tassement général de la baisse, mais aussi, enfin, </w:t>
            </w:r>
            <w:r w:rsidR="00024E10">
              <w:rPr>
                <w:rFonts w:ascii="Arial" w:hAnsi="Arial" w:cs="Arial"/>
                <w:b/>
              </w:rPr>
              <w:t>au redressement récent</w:t>
            </w:r>
            <w:r>
              <w:rPr>
                <w:rFonts w:ascii="Arial" w:hAnsi="Arial" w:cs="Arial"/>
                <w:b/>
              </w:rPr>
              <w:t xml:space="preserve"> des bâtiments publics (+11,7 % sur les trois derniers mois), l’échéance des municipales de 2026 commençant à produire ses effets concrets. Par ailleurs, en glissement annuel sur sept et trois mois à fin juillet 2024, les surfaces autorisées ne se replient plus que de 2 %, trois segments (locaux agricoles, bâtiments administratifs et hébergements hôteliers) s’affich</w:t>
            </w:r>
            <w:r w:rsidR="00024E10">
              <w:rPr>
                <w:rFonts w:ascii="Arial" w:hAnsi="Arial" w:cs="Arial"/>
                <w:b/>
              </w:rPr>
              <w:t>a</w:t>
            </w:r>
            <w:r>
              <w:rPr>
                <w:rFonts w:ascii="Arial" w:hAnsi="Arial" w:cs="Arial"/>
                <w:b/>
              </w:rPr>
              <w:t>nt même en territoire positif.</w:t>
            </w:r>
          </w:p>
          <w:p w14:paraId="6C01A731" w14:textId="17593CC5" w:rsidR="00125C22" w:rsidRPr="0018557E" w:rsidRDefault="00125C22" w:rsidP="00125C22">
            <w:pPr>
              <w:pBdr>
                <w:top w:val="single" w:sz="2" w:space="1" w:color="auto"/>
                <w:left w:val="single" w:sz="2" w:space="4" w:color="auto"/>
                <w:bottom w:val="single" w:sz="2" w:space="1" w:color="auto"/>
                <w:right w:val="single" w:sz="2" w:space="4" w:color="auto"/>
              </w:pBdr>
              <w:spacing w:line="312" w:lineRule="auto"/>
              <w:jc w:val="both"/>
              <w:rPr>
                <w:rFonts w:ascii="Arial" w:hAnsi="Arial" w:cs="Arial"/>
                <w:b/>
                <w:color w:val="000000" w:themeColor="text1"/>
              </w:rPr>
            </w:pPr>
            <w:r w:rsidRPr="001D2BD3">
              <w:rPr>
                <w:rFonts w:ascii="Arial" w:hAnsi="Arial" w:cs="Arial"/>
                <w:b/>
              </w:rPr>
              <w:t>Quant à l’activité en amélioration-entretien, elle poursuit son ralentissement, à +1,</w:t>
            </w:r>
            <w:r w:rsidR="00D16AF5">
              <w:rPr>
                <w:rFonts w:ascii="Arial" w:hAnsi="Arial" w:cs="Arial"/>
                <w:b/>
              </w:rPr>
              <w:t>1</w:t>
            </w:r>
            <w:r w:rsidRPr="001D2BD3">
              <w:rPr>
                <w:rFonts w:ascii="Arial" w:hAnsi="Arial" w:cs="Arial"/>
                <w:b/>
              </w:rPr>
              <w:t> % en volume entre les deuxièmes trimestres 2023 et 2024, entravée par la rénovation énergétique du logement</w:t>
            </w:r>
            <w:r w:rsidR="003B3F51">
              <w:rPr>
                <w:rFonts w:ascii="Arial" w:hAnsi="Arial" w:cs="Arial"/>
                <w:b/>
              </w:rPr>
              <w:t>, quasiment stable</w:t>
            </w:r>
            <w:r w:rsidRPr="001D2BD3">
              <w:rPr>
                <w:rFonts w:ascii="Arial" w:hAnsi="Arial" w:cs="Arial"/>
                <w:b/>
              </w:rPr>
              <w:t xml:space="preserve"> en glissement annuel sur le premier semestre, du fait de la réforme </w:t>
            </w:r>
            <w:r w:rsidR="003B3F51">
              <w:rPr>
                <w:rFonts w:ascii="Arial" w:hAnsi="Arial" w:cs="Arial"/>
                <w:b/>
              </w:rPr>
              <w:t>trop brutale</w:t>
            </w:r>
            <w:r w:rsidR="003B3F51" w:rsidRPr="001D2BD3">
              <w:rPr>
                <w:rFonts w:ascii="Arial" w:hAnsi="Arial" w:cs="Arial"/>
                <w:b/>
              </w:rPr>
              <w:t xml:space="preserve"> </w:t>
            </w:r>
            <w:r w:rsidRPr="001D2BD3">
              <w:rPr>
                <w:rFonts w:ascii="Arial" w:hAnsi="Arial" w:cs="Arial"/>
                <w:b/>
              </w:rPr>
              <w:t>de MaPrimeRénov’.</w:t>
            </w:r>
            <w:r>
              <w:rPr>
                <w:rFonts w:ascii="Arial" w:hAnsi="Arial" w:cs="Arial"/>
                <w:b/>
              </w:rPr>
              <w:t xml:space="preserve"> </w:t>
            </w:r>
            <w:r>
              <w:rPr>
                <w:rFonts w:ascii="Arial" w:hAnsi="Arial" w:cs="Arial"/>
                <w:b/>
                <w:color w:val="000000" w:themeColor="text1"/>
              </w:rPr>
              <w:t>De plus, les</w:t>
            </w:r>
            <w:r w:rsidRPr="0018557E">
              <w:rPr>
                <w:rFonts w:ascii="Arial" w:hAnsi="Arial" w:cs="Arial"/>
                <w:b/>
                <w:color w:val="000000" w:themeColor="text1"/>
              </w:rPr>
              <w:t xml:space="preserve"> perspectives d’activité pour le troisième trimestre</w:t>
            </w:r>
            <w:r>
              <w:rPr>
                <w:rFonts w:ascii="Arial" w:hAnsi="Arial" w:cs="Arial"/>
                <w:b/>
                <w:color w:val="000000" w:themeColor="text1"/>
              </w:rPr>
              <w:t xml:space="preserve"> 2024</w:t>
            </w:r>
            <w:r w:rsidRPr="0018557E">
              <w:rPr>
                <w:rFonts w:ascii="Arial" w:hAnsi="Arial" w:cs="Arial"/>
                <w:b/>
                <w:color w:val="000000" w:themeColor="text1"/>
              </w:rPr>
              <w:t xml:space="preserve"> se stabilisent </w:t>
            </w:r>
            <w:r w:rsidR="00D16AF5">
              <w:rPr>
                <w:rFonts w:ascii="Arial" w:hAnsi="Arial" w:cs="Arial"/>
                <w:b/>
                <w:color w:val="000000" w:themeColor="text1"/>
              </w:rPr>
              <w:t>au niveau</w:t>
            </w:r>
            <w:r w:rsidRPr="0018557E">
              <w:rPr>
                <w:rFonts w:ascii="Arial" w:hAnsi="Arial" w:cs="Arial"/>
                <w:b/>
                <w:color w:val="000000" w:themeColor="text1"/>
              </w:rPr>
              <w:t xml:space="preserve"> de leur moyenne de long terme pour les entreprises de plus de dix salariés.</w:t>
            </w:r>
          </w:p>
          <w:p w14:paraId="6CB0EF9E" w14:textId="77777777" w:rsidR="00C02CB6" w:rsidRPr="008F04B6" w:rsidRDefault="00C02CB6" w:rsidP="008F04B6">
            <w:pPr>
              <w:pBdr>
                <w:top w:val="single" w:sz="2" w:space="1" w:color="auto"/>
                <w:left w:val="single" w:sz="2" w:space="4" w:color="auto"/>
                <w:bottom w:val="single" w:sz="2" w:space="1" w:color="auto"/>
                <w:right w:val="single" w:sz="2" w:space="4" w:color="auto"/>
              </w:pBdr>
              <w:jc w:val="both"/>
              <w:rPr>
                <w:rFonts w:ascii="Arial" w:hAnsi="Arial" w:cs="Arial"/>
                <w:b/>
                <w:bCs/>
              </w:rPr>
            </w:pPr>
          </w:p>
          <w:p w14:paraId="4AA25290" w14:textId="39A705D5" w:rsidR="00572051" w:rsidRPr="008F04B6" w:rsidRDefault="00B11975" w:rsidP="008C658A">
            <w:pPr>
              <w:pBdr>
                <w:top w:val="single" w:sz="2" w:space="1" w:color="auto"/>
                <w:left w:val="single" w:sz="2" w:space="4" w:color="auto"/>
                <w:bottom w:val="single" w:sz="2" w:space="1" w:color="auto"/>
                <w:right w:val="single" w:sz="2" w:space="4" w:color="auto"/>
              </w:pBdr>
              <w:spacing w:line="312" w:lineRule="auto"/>
              <w:jc w:val="both"/>
              <w:rPr>
                <w:rFonts w:ascii="Arial" w:hAnsi="Arial" w:cs="Arial"/>
                <w:b/>
                <w:bCs/>
              </w:rPr>
            </w:pPr>
            <w:r>
              <w:rPr>
                <w:rFonts w:ascii="Arial" w:hAnsi="Arial" w:cs="Arial"/>
                <w:b/>
                <w:bCs/>
              </w:rPr>
              <w:t>Pour l’heure, l</w:t>
            </w:r>
            <w:r w:rsidRPr="00B11975">
              <w:rPr>
                <w:rFonts w:ascii="Arial" w:hAnsi="Arial" w:cs="Arial"/>
                <w:b/>
                <w:bCs/>
              </w:rPr>
              <w:t xml:space="preserve">’emploi fait </w:t>
            </w:r>
            <w:r w:rsidR="002E6687">
              <w:rPr>
                <w:rFonts w:ascii="Arial" w:hAnsi="Arial" w:cs="Arial"/>
                <w:b/>
                <w:bCs/>
              </w:rPr>
              <w:t xml:space="preserve">encore </w:t>
            </w:r>
            <w:r w:rsidRPr="00B11975">
              <w:rPr>
                <w:rFonts w:ascii="Arial" w:hAnsi="Arial" w:cs="Arial"/>
                <w:b/>
                <w:bCs/>
              </w:rPr>
              <w:t>de la résistance</w:t>
            </w:r>
            <w:r>
              <w:rPr>
                <w:rFonts w:ascii="Arial" w:hAnsi="Arial" w:cs="Arial"/>
                <w:b/>
                <w:bCs/>
              </w:rPr>
              <w:t xml:space="preserve">. </w:t>
            </w:r>
            <w:r w:rsidR="003B3F51">
              <w:rPr>
                <w:rFonts w:ascii="Arial" w:hAnsi="Arial" w:cs="Arial"/>
                <w:b/>
                <w:bCs/>
              </w:rPr>
              <w:t>Certes</w:t>
            </w:r>
            <w:r>
              <w:rPr>
                <w:rFonts w:ascii="Arial" w:hAnsi="Arial" w:cs="Arial"/>
                <w:b/>
                <w:bCs/>
              </w:rPr>
              <w:t xml:space="preserve">, </w:t>
            </w:r>
            <w:r w:rsidRPr="00B11975">
              <w:rPr>
                <w:rFonts w:ascii="Arial" w:hAnsi="Arial" w:cs="Arial"/>
                <w:b/>
                <w:bCs/>
              </w:rPr>
              <w:t xml:space="preserve">entre </w:t>
            </w:r>
            <w:r>
              <w:rPr>
                <w:rFonts w:ascii="Arial" w:hAnsi="Arial" w:cs="Arial"/>
                <w:b/>
                <w:bCs/>
              </w:rPr>
              <w:t xml:space="preserve">les premiers semestres 2023 et </w:t>
            </w:r>
            <w:r w:rsidRPr="00B11975">
              <w:rPr>
                <w:rFonts w:ascii="Arial" w:hAnsi="Arial" w:cs="Arial"/>
                <w:b/>
                <w:bCs/>
              </w:rPr>
              <w:t>2024, 28</w:t>
            </w:r>
            <w:r w:rsidR="003B3F51">
              <w:rPr>
                <w:rFonts w:ascii="Arial" w:hAnsi="Arial" w:cs="Arial"/>
                <w:b/>
                <w:bCs/>
              </w:rPr>
              <w:t> </w:t>
            </w:r>
            <w:r w:rsidRPr="00B11975">
              <w:rPr>
                <w:rFonts w:ascii="Arial" w:hAnsi="Arial" w:cs="Arial"/>
                <w:b/>
                <w:bCs/>
              </w:rPr>
              <w:t xml:space="preserve">000 postes </w:t>
            </w:r>
            <w:r w:rsidR="00767CB6">
              <w:rPr>
                <w:rFonts w:ascii="Arial" w:hAnsi="Arial" w:cs="Arial"/>
                <w:b/>
                <w:bCs/>
              </w:rPr>
              <w:t xml:space="preserve">ont été </w:t>
            </w:r>
            <w:r w:rsidRPr="00B11975">
              <w:rPr>
                <w:rFonts w:ascii="Arial" w:hAnsi="Arial" w:cs="Arial"/>
                <w:b/>
                <w:bCs/>
              </w:rPr>
              <w:t xml:space="preserve">perdus dans le bâtiment, </w:t>
            </w:r>
            <w:r w:rsidR="00767CB6">
              <w:rPr>
                <w:rFonts w:ascii="Arial" w:hAnsi="Arial" w:cs="Arial"/>
                <w:b/>
                <w:bCs/>
              </w:rPr>
              <w:t xml:space="preserve">mais </w:t>
            </w:r>
            <w:r w:rsidR="003B3F51">
              <w:rPr>
                <w:rFonts w:ascii="Arial" w:hAnsi="Arial" w:cs="Arial"/>
                <w:b/>
                <w:bCs/>
              </w:rPr>
              <w:t>sans</w:t>
            </w:r>
            <w:r w:rsidR="00767CB6">
              <w:rPr>
                <w:rFonts w:ascii="Arial" w:hAnsi="Arial" w:cs="Arial"/>
                <w:b/>
                <w:bCs/>
              </w:rPr>
              <w:t xml:space="preserve"> véritable </w:t>
            </w:r>
            <w:r w:rsidRPr="00B11975">
              <w:rPr>
                <w:rFonts w:ascii="Arial" w:hAnsi="Arial" w:cs="Arial"/>
                <w:b/>
                <w:bCs/>
              </w:rPr>
              <w:t xml:space="preserve">accélération </w:t>
            </w:r>
            <w:r w:rsidR="00767CB6">
              <w:rPr>
                <w:rFonts w:ascii="Arial" w:hAnsi="Arial" w:cs="Arial"/>
                <w:b/>
                <w:bCs/>
              </w:rPr>
              <w:t>sur le deuxième trimestre</w:t>
            </w:r>
            <w:r w:rsidRPr="00B11975">
              <w:rPr>
                <w:rFonts w:ascii="Arial" w:hAnsi="Arial" w:cs="Arial"/>
                <w:b/>
                <w:bCs/>
              </w:rPr>
              <w:t>.</w:t>
            </w:r>
            <w:r w:rsidR="00767CB6">
              <w:rPr>
                <w:rFonts w:ascii="Arial" w:hAnsi="Arial" w:cs="Arial"/>
                <w:b/>
                <w:bCs/>
              </w:rPr>
              <w:t xml:space="preserve"> D’ailleurs, à</w:t>
            </w:r>
            <w:r w:rsidRPr="00894979">
              <w:rPr>
                <w:rFonts w:ascii="Arial" w:hAnsi="Arial" w:cs="Arial"/>
                <w:b/>
                <w:bCs/>
              </w:rPr>
              <w:t xml:space="preserve"> l’horizon de l’</w:t>
            </w:r>
            <w:r>
              <w:rPr>
                <w:rFonts w:ascii="Arial" w:hAnsi="Arial" w:cs="Arial"/>
                <w:b/>
                <w:bCs/>
              </w:rPr>
              <w:t>automne</w:t>
            </w:r>
            <w:r w:rsidRPr="00894979">
              <w:rPr>
                <w:rFonts w:ascii="Arial" w:hAnsi="Arial" w:cs="Arial"/>
                <w:b/>
                <w:bCs/>
              </w:rPr>
              <w:t xml:space="preserve">, </w:t>
            </w:r>
            <w:r w:rsidRPr="008B6F40">
              <w:rPr>
                <w:rFonts w:ascii="Arial" w:hAnsi="Arial" w:cs="Arial"/>
                <w:b/>
              </w:rPr>
              <w:t xml:space="preserve">les perspectives déclarées par les chefs d’entreprises </w:t>
            </w:r>
            <w:r w:rsidR="008C658A">
              <w:rPr>
                <w:rFonts w:ascii="Arial" w:hAnsi="Arial" w:cs="Arial"/>
                <w:b/>
              </w:rPr>
              <w:t xml:space="preserve">de plus de dix salariés </w:t>
            </w:r>
            <w:r w:rsidRPr="008B6F40">
              <w:rPr>
                <w:rFonts w:ascii="Arial" w:hAnsi="Arial" w:cs="Arial"/>
                <w:b/>
              </w:rPr>
              <w:t>en matière d’emploi se limitent à un tassement</w:t>
            </w:r>
            <w:r w:rsidR="002E6687">
              <w:rPr>
                <w:rFonts w:ascii="Arial" w:hAnsi="Arial" w:cs="Arial"/>
                <w:b/>
              </w:rPr>
              <w:t>, sans doute</w:t>
            </w:r>
            <w:r w:rsidR="008C658A">
              <w:rPr>
                <w:rFonts w:ascii="Arial" w:hAnsi="Arial" w:cs="Arial"/>
                <w:b/>
              </w:rPr>
              <w:t xml:space="preserve"> </w:t>
            </w:r>
            <w:r w:rsidR="002E6687">
              <w:rPr>
                <w:rFonts w:ascii="Arial" w:hAnsi="Arial" w:cs="Arial"/>
                <w:b/>
              </w:rPr>
              <w:t>en lien avec celui</w:t>
            </w:r>
            <w:r w:rsidR="008C658A" w:rsidRPr="008C658A">
              <w:rPr>
                <w:rFonts w:ascii="Arial" w:hAnsi="Arial" w:cs="Arial"/>
                <w:b/>
              </w:rPr>
              <w:t xml:space="preserve"> constaté </w:t>
            </w:r>
            <w:r w:rsidR="002E6687">
              <w:rPr>
                <w:rFonts w:ascii="Arial" w:hAnsi="Arial" w:cs="Arial"/>
                <w:b/>
              </w:rPr>
              <w:t xml:space="preserve">sur les </w:t>
            </w:r>
            <w:r w:rsidR="008C658A" w:rsidRPr="008C658A">
              <w:rPr>
                <w:rFonts w:ascii="Arial" w:hAnsi="Arial" w:cs="Arial"/>
                <w:b/>
              </w:rPr>
              <w:t>défaillances</w:t>
            </w:r>
            <w:r w:rsidR="003B3F51">
              <w:rPr>
                <w:rFonts w:ascii="Arial" w:hAnsi="Arial" w:cs="Arial"/>
                <w:b/>
              </w:rPr>
              <w:t> </w:t>
            </w:r>
            <w:r w:rsidR="008C658A" w:rsidRPr="008C658A">
              <w:rPr>
                <w:rFonts w:ascii="Arial" w:hAnsi="Arial" w:cs="Arial"/>
                <w:b/>
              </w:rPr>
              <w:t xml:space="preserve">: </w:t>
            </w:r>
            <w:r w:rsidR="003B3F51">
              <w:rPr>
                <w:rFonts w:ascii="Arial" w:hAnsi="Arial" w:cs="Arial"/>
                <w:b/>
              </w:rPr>
              <w:t>après leur rapide progression de</w:t>
            </w:r>
            <w:r w:rsidR="008C658A" w:rsidRPr="008C658A">
              <w:rPr>
                <w:rFonts w:ascii="Arial" w:hAnsi="Arial" w:cs="Arial"/>
                <w:b/>
              </w:rPr>
              <w:t xml:space="preserve"> fin 2023/début 2024, </w:t>
            </w:r>
            <w:r w:rsidR="003B3F51">
              <w:rPr>
                <w:rFonts w:ascii="Arial" w:hAnsi="Arial" w:cs="Arial"/>
                <w:b/>
              </w:rPr>
              <w:t xml:space="preserve">elles </w:t>
            </w:r>
            <w:r w:rsidR="008C658A" w:rsidRPr="008C658A">
              <w:rPr>
                <w:rFonts w:ascii="Arial" w:hAnsi="Arial" w:cs="Arial"/>
                <w:b/>
              </w:rPr>
              <w:t xml:space="preserve">se sont stabilisées depuis, y compris </w:t>
            </w:r>
            <w:r w:rsidR="002E6687">
              <w:rPr>
                <w:rFonts w:ascii="Arial" w:hAnsi="Arial" w:cs="Arial"/>
                <w:b/>
              </w:rPr>
              <w:t>cet été</w:t>
            </w:r>
            <w:r w:rsidR="008C658A" w:rsidRPr="008C658A">
              <w:rPr>
                <w:rFonts w:ascii="Arial" w:hAnsi="Arial" w:cs="Arial"/>
                <w:b/>
              </w:rPr>
              <w:t>.</w:t>
            </w:r>
          </w:p>
        </w:tc>
      </w:tr>
    </w:tbl>
    <w:p w14:paraId="13145FCB" w14:textId="36A80FD2" w:rsidR="00E06CF6" w:rsidRPr="00144715" w:rsidRDefault="004A4B38" w:rsidP="000B03BF">
      <w:pPr>
        <w:spacing w:after="120" w:line="360" w:lineRule="auto"/>
        <w:rPr>
          <w:rFonts w:ascii="Arial" w:hAnsi="Arial" w:cs="Arial"/>
          <w:b/>
          <w:sz w:val="28"/>
          <w:szCs w:val="28"/>
          <w:u w:val="single"/>
        </w:rPr>
      </w:pPr>
      <w:r>
        <w:rPr>
          <w:rFonts w:ascii="Arial" w:hAnsi="Arial" w:cs="Arial"/>
          <w:b/>
          <w:sz w:val="28"/>
          <w:szCs w:val="28"/>
          <w:u w:val="single"/>
        </w:rPr>
        <w:br w:type="page"/>
      </w:r>
      <w:r w:rsidR="00E06CF6" w:rsidRPr="00144715">
        <w:rPr>
          <w:rFonts w:ascii="Arial" w:hAnsi="Arial" w:cs="Arial"/>
          <w:b/>
          <w:sz w:val="28"/>
          <w:szCs w:val="28"/>
          <w:u w:val="single"/>
        </w:rPr>
        <w:lastRenderedPageBreak/>
        <w:t xml:space="preserve">1. </w:t>
      </w:r>
      <w:r w:rsidR="00C10324" w:rsidRPr="00144715">
        <w:rPr>
          <w:rFonts w:ascii="Arial" w:hAnsi="Arial" w:cs="Arial"/>
          <w:b/>
          <w:sz w:val="28"/>
          <w:szCs w:val="28"/>
          <w:u w:val="single"/>
        </w:rPr>
        <w:t>Le contexte macroéconomique et macrofinancier</w:t>
      </w:r>
    </w:p>
    <w:p w14:paraId="76ADEF16" w14:textId="0BD9B702" w:rsidR="00FF211A" w:rsidRPr="003F3403" w:rsidRDefault="00287BEF" w:rsidP="00FF211A">
      <w:pPr>
        <w:spacing w:after="120" w:line="360" w:lineRule="auto"/>
        <w:jc w:val="both"/>
        <w:rPr>
          <w:rFonts w:ascii="Arial" w:hAnsi="Arial" w:cs="Arial"/>
        </w:rPr>
      </w:pPr>
      <w:r w:rsidRPr="00287BEF">
        <w:rPr>
          <w:rFonts w:ascii="Arial" w:hAnsi="Arial" w:cs="Arial"/>
        </w:rPr>
        <w:t xml:space="preserve">Après +0,3 % en volume au premier trimestre, </w:t>
      </w:r>
      <w:r w:rsidR="007A6921">
        <w:rPr>
          <w:rFonts w:ascii="Arial" w:hAnsi="Arial" w:cs="Arial"/>
        </w:rPr>
        <w:t>le</w:t>
      </w:r>
      <w:r w:rsidR="00E958B3" w:rsidRPr="00287BEF">
        <w:rPr>
          <w:rFonts w:ascii="Arial" w:hAnsi="Arial" w:cs="Arial"/>
        </w:rPr>
        <w:t xml:space="preserve"> PIB </w:t>
      </w:r>
      <w:r w:rsidRPr="00287BEF">
        <w:rPr>
          <w:rFonts w:ascii="Arial" w:hAnsi="Arial" w:cs="Arial"/>
        </w:rPr>
        <w:t>ralentit légèrement au deuxième trimestre, à +</w:t>
      </w:r>
      <w:r w:rsidR="00E958B3" w:rsidRPr="00287BEF">
        <w:rPr>
          <w:rFonts w:ascii="Arial" w:hAnsi="Arial" w:cs="Arial"/>
        </w:rPr>
        <w:t>0,2</w:t>
      </w:r>
      <w:r w:rsidR="00E26839" w:rsidRPr="00287BEF">
        <w:rPr>
          <w:rFonts w:ascii="Arial" w:hAnsi="Arial" w:cs="Arial"/>
        </w:rPr>
        <w:t> %</w:t>
      </w:r>
      <w:r w:rsidR="00E958B3" w:rsidRPr="00287BEF">
        <w:rPr>
          <w:rFonts w:ascii="Arial" w:hAnsi="Arial" w:cs="Arial"/>
        </w:rPr>
        <w:t xml:space="preserve"> </w:t>
      </w:r>
      <w:r w:rsidR="00595E79" w:rsidRPr="00287BEF">
        <w:rPr>
          <w:rFonts w:ascii="Arial" w:hAnsi="Arial" w:cs="Arial"/>
        </w:rPr>
        <w:t>(cf. graphique 1)</w:t>
      </w:r>
      <w:r w:rsidRPr="00287BEF">
        <w:rPr>
          <w:rFonts w:ascii="Arial" w:hAnsi="Arial" w:cs="Arial"/>
        </w:rPr>
        <w:t>.</w:t>
      </w:r>
      <w:r w:rsidR="00595E79" w:rsidRPr="00287BEF">
        <w:rPr>
          <w:rFonts w:ascii="Arial" w:hAnsi="Arial" w:cs="Arial"/>
        </w:rPr>
        <w:t xml:space="preserve"> </w:t>
      </w:r>
      <w:r w:rsidR="00BD1786">
        <w:rPr>
          <w:rFonts w:ascii="Arial" w:hAnsi="Arial" w:cs="Arial"/>
        </w:rPr>
        <w:t>En détail, l’investissement reste en baisse (-0,4 %)</w:t>
      </w:r>
      <w:r w:rsidR="007A6921">
        <w:rPr>
          <w:rFonts w:ascii="Arial" w:hAnsi="Arial" w:cs="Arial"/>
        </w:rPr>
        <w:t xml:space="preserve">, </w:t>
      </w:r>
      <w:r w:rsidR="003B3F51">
        <w:rPr>
          <w:rFonts w:ascii="Arial" w:hAnsi="Arial" w:cs="Arial"/>
        </w:rPr>
        <w:t>pénalisé par celui</w:t>
      </w:r>
      <w:r w:rsidR="00BD1786">
        <w:rPr>
          <w:rFonts w:ascii="Arial" w:hAnsi="Arial" w:cs="Arial"/>
        </w:rPr>
        <w:t xml:space="preserve"> des ménages (-1,1 %</w:t>
      </w:r>
      <w:r w:rsidR="00B52F5B">
        <w:rPr>
          <w:rFonts w:ascii="Arial" w:hAnsi="Arial" w:cs="Arial"/>
        </w:rPr>
        <w:t xml:space="preserve"> et même -2,0 % sur le seul volet construction</w:t>
      </w:r>
      <w:r w:rsidR="00BD1786">
        <w:rPr>
          <w:rFonts w:ascii="Arial" w:hAnsi="Arial" w:cs="Arial"/>
        </w:rPr>
        <w:t xml:space="preserve">) et </w:t>
      </w:r>
      <w:r w:rsidR="003B3F51">
        <w:rPr>
          <w:rFonts w:ascii="Arial" w:hAnsi="Arial" w:cs="Arial"/>
        </w:rPr>
        <w:t xml:space="preserve">celui </w:t>
      </w:r>
      <w:r w:rsidR="00BD1786">
        <w:rPr>
          <w:rFonts w:ascii="Arial" w:hAnsi="Arial" w:cs="Arial"/>
        </w:rPr>
        <w:t>des entreprises (-0,5 %</w:t>
      </w:r>
      <w:r w:rsidR="00B52F5B">
        <w:rPr>
          <w:rFonts w:ascii="Arial" w:hAnsi="Arial" w:cs="Arial"/>
        </w:rPr>
        <w:t xml:space="preserve">, </w:t>
      </w:r>
      <w:r w:rsidR="003B3F51">
        <w:rPr>
          <w:rFonts w:ascii="Arial" w:hAnsi="Arial" w:cs="Arial"/>
        </w:rPr>
        <w:t>et même</w:t>
      </w:r>
      <w:r w:rsidR="00B52F5B">
        <w:rPr>
          <w:rFonts w:ascii="Arial" w:hAnsi="Arial" w:cs="Arial"/>
        </w:rPr>
        <w:t xml:space="preserve"> -1,2 %</w:t>
      </w:r>
      <w:r w:rsidR="003B3F51">
        <w:rPr>
          <w:rFonts w:ascii="Arial" w:hAnsi="Arial" w:cs="Arial"/>
        </w:rPr>
        <w:t xml:space="preserve"> en construction</w:t>
      </w:r>
      <w:r w:rsidR="00BD1786">
        <w:rPr>
          <w:rFonts w:ascii="Arial" w:hAnsi="Arial" w:cs="Arial"/>
        </w:rPr>
        <w:t>)</w:t>
      </w:r>
      <w:r w:rsidR="003B3F51">
        <w:rPr>
          <w:rFonts w:ascii="Arial" w:hAnsi="Arial" w:cs="Arial"/>
        </w:rPr>
        <w:t>,</w:t>
      </w:r>
      <w:r w:rsidR="00BD1786">
        <w:rPr>
          <w:rFonts w:ascii="Arial" w:hAnsi="Arial" w:cs="Arial"/>
        </w:rPr>
        <w:t xml:space="preserve"> alors que le</w:t>
      </w:r>
      <w:r w:rsidR="00BA3DB9">
        <w:rPr>
          <w:rFonts w:ascii="Arial" w:hAnsi="Arial" w:cs="Arial"/>
        </w:rPr>
        <w:t xml:space="preserve"> rythme de hausse se maintient globalement pour le</w:t>
      </w:r>
      <w:r w:rsidR="00BD1786">
        <w:rPr>
          <w:rFonts w:ascii="Arial" w:hAnsi="Arial" w:cs="Arial"/>
        </w:rPr>
        <w:t xml:space="preserve">s administrations publiques (+0,6 %). </w:t>
      </w:r>
      <w:r w:rsidR="003F3403">
        <w:rPr>
          <w:rFonts w:ascii="Arial" w:hAnsi="Arial" w:cs="Arial"/>
        </w:rPr>
        <w:t xml:space="preserve">Par ailleurs, les </w:t>
      </w:r>
      <w:r w:rsidR="003F3403" w:rsidRPr="003F3403">
        <w:rPr>
          <w:rFonts w:ascii="Arial" w:hAnsi="Arial" w:cs="Arial"/>
        </w:rPr>
        <w:t>dépenses de consommation des ménages s</w:t>
      </w:r>
      <w:r w:rsidR="00BA3DB9">
        <w:rPr>
          <w:rFonts w:ascii="Arial" w:hAnsi="Arial" w:cs="Arial"/>
        </w:rPr>
        <w:t>e redressent un peu</w:t>
      </w:r>
      <w:r w:rsidR="003F3403" w:rsidRPr="003F3403">
        <w:rPr>
          <w:rFonts w:ascii="Arial" w:hAnsi="Arial" w:cs="Arial"/>
        </w:rPr>
        <w:t xml:space="preserve"> (+0,1 %)</w:t>
      </w:r>
      <w:r w:rsidR="00902623">
        <w:rPr>
          <w:rFonts w:ascii="Arial" w:hAnsi="Arial" w:cs="Arial"/>
        </w:rPr>
        <w:t xml:space="preserve"> </w:t>
      </w:r>
      <w:r w:rsidR="004A1802" w:rsidRPr="003F3403">
        <w:rPr>
          <w:rFonts w:ascii="Arial" w:hAnsi="Arial" w:cs="Arial"/>
        </w:rPr>
        <w:t xml:space="preserve">et </w:t>
      </w:r>
      <w:r w:rsidR="003F3403" w:rsidRPr="003F3403">
        <w:rPr>
          <w:rFonts w:ascii="Arial" w:hAnsi="Arial" w:cs="Arial"/>
        </w:rPr>
        <w:t xml:space="preserve">le </w:t>
      </w:r>
      <w:r w:rsidR="004A1802" w:rsidRPr="003F3403">
        <w:rPr>
          <w:rFonts w:ascii="Arial" w:hAnsi="Arial" w:cs="Arial"/>
        </w:rPr>
        <w:t>commerce extérieur</w:t>
      </w:r>
      <w:r w:rsidR="003F3403" w:rsidRPr="003F3403">
        <w:rPr>
          <w:rFonts w:ascii="Arial" w:hAnsi="Arial" w:cs="Arial"/>
        </w:rPr>
        <w:t xml:space="preserve"> affiche un solde toujours largement positif</w:t>
      </w:r>
      <w:r w:rsidR="00E958B3" w:rsidRPr="003F3403">
        <w:rPr>
          <w:rFonts w:ascii="Arial" w:hAnsi="Arial" w:cs="Arial"/>
        </w:rPr>
        <w:t xml:space="preserve">. </w:t>
      </w:r>
    </w:p>
    <w:p w14:paraId="149346B9" w14:textId="0C8B1B11" w:rsidR="00F87480" w:rsidRPr="00871E57" w:rsidRDefault="00F87480" w:rsidP="00867B30">
      <w:pPr>
        <w:spacing w:after="0" w:line="360" w:lineRule="auto"/>
        <w:jc w:val="center"/>
        <w:rPr>
          <w:rFonts w:ascii="Arial" w:hAnsi="Arial" w:cs="Arial"/>
          <w:b/>
        </w:rPr>
      </w:pPr>
      <w:r w:rsidRPr="00871E57">
        <w:rPr>
          <w:rFonts w:ascii="Arial" w:hAnsi="Arial" w:cs="Arial"/>
        </w:rPr>
        <w:t xml:space="preserve">Graphique 1 – </w:t>
      </w:r>
      <w:r w:rsidRPr="00871E57">
        <w:rPr>
          <w:rFonts w:ascii="Arial" w:hAnsi="Arial" w:cs="Arial"/>
          <w:b/>
        </w:rPr>
        <w:t>Le PIB et ses composantes</w:t>
      </w:r>
    </w:p>
    <w:p w14:paraId="710CE8B1" w14:textId="0E9CC9EA" w:rsidR="00F87480" w:rsidRPr="00C704DF" w:rsidRDefault="00CB3FC8" w:rsidP="006F5A71">
      <w:pPr>
        <w:spacing w:after="60" w:line="240" w:lineRule="auto"/>
        <w:jc w:val="center"/>
        <w:rPr>
          <w:rFonts w:ascii="Arial" w:hAnsi="Arial" w:cs="Arial"/>
          <w:highlight w:val="yellow"/>
        </w:rPr>
      </w:pPr>
      <w:r w:rsidRPr="00CB3FC8">
        <w:rPr>
          <w:rFonts w:ascii="Arial" w:hAnsi="Arial" w:cs="Arial"/>
          <w:noProof/>
        </w:rPr>
        <w:drawing>
          <wp:inline distT="0" distB="0" distL="0" distR="0" wp14:anchorId="29EE4F32" wp14:editId="51DE5B76">
            <wp:extent cx="5760720" cy="3064510"/>
            <wp:effectExtent l="0" t="0" r="0" b="2540"/>
            <wp:docPr id="1429643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747C511" w14:textId="1855909A" w:rsidR="00F87480" w:rsidRPr="00871E57" w:rsidRDefault="00F87480" w:rsidP="00F87480">
      <w:pPr>
        <w:spacing w:after="120" w:line="360" w:lineRule="auto"/>
        <w:jc w:val="center"/>
        <w:rPr>
          <w:rFonts w:ascii="Arial" w:hAnsi="Arial" w:cs="Arial"/>
          <w:i/>
          <w:sz w:val="20"/>
          <w:szCs w:val="20"/>
        </w:rPr>
      </w:pPr>
      <w:r w:rsidRPr="00871E57">
        <w:rPr>
          <w:rFonts w:ascii="Arial" w:hAnsi="Arial" w:cs="Arial"/>
          <w:i/>
          <w:sz w:val="20"/>
          <w:szCs w:val="20"/>
        </w:rPr>
        <w:t xml:space="preserve">Source : </w:t>
      </w:r>
      <w:r w:rsidR="00931B1C">
        <w:rPr>
          <w:rFonts w:ascii="Arial" w:hAnsi="Arial" w:cs="Arial"/>
          <w:i/>
          <w:sz w:val="20"/>
          <w:szCs w:val="20"/>
        </w:rPr>
        <w:t xml:space="preserve">calculs </w:t>
      </w:r>
      <w:r w:rsidR="00527707">
        <w:rPr>
          <w:rFonts w:ascii="Arial" w:hAnsi="Arial" w:cs="Arial"/>
          <w:i/>
          <w:sz w:val="20"/>
          <w:szCs w:val="20"/>
        </w:rPr>
        <w:t xml:space="preserve">FFB d’après </w:t>
      </w:r>
      <w:r w:rsidRPr="00871E57">
        <w:rPr>
          <w:rFonts w:ascii="Arial" w:hAnsi="Arial" w:cs="Arial"/>
          <w:i/>
          <w:sz w:val="20"/>
          <w:szCs w:val="20"/>
        </w:rPr>
        <w:t>Insee</w:t>
      </w:r>
    </w:p>
    <w:p w14:paraId="3F6738BE" w14:textId="1E824007" w:rsidR="00FE6DE4" w:rsidRPr="00FE1CB7" w:rsidRDefault="00FE1CB7" w:rsidP="00F052A0">
      <w:pPr>
        <w:spacing w:after="120" w:line="360" w:lineRule="auto"/>
        <w:jc w:val="both"/>
        <w:rPr>
          <w:rFonts w:ascii="Arial" w:eastAsia="Calibri" w:hAnsi="Arial" w:cs="Arial"/>
        </w:rPr>
      </w:pPr>
      <w:r w:rsidRPr="00FE1CB7">
        <w:rPr>
          <w:rFonts w:ascii="Arial" w:eastAsia="Calibri" w:hAnsi="Arial" w:cs="Arial"/>
        </w:rPr>
        <w:t xml:space="preserve">Depuis mars 2024, l’inflation se maintenait à un rythme de 2,3 % sur un an. Le mois d’août </w:t>
      </w:r>
      <w:r w:rsidR="001D6AB7">
        <w:rPr>
          <w:rFonts w:ascii="Arial" w:eastAsia="Calibri" w:hAnsi="Arial" w:cs="Arial"/>
        </w:rPr>
        <w:t>marque</w:t>
      </w:r>
      <w:r w:rsidRPr="00FE1CB7">
        <w:rPr>
          <w:rFonts w:ascii="Arial" w:eastAsia="Calibri" w:hAnsi="Arial" w:cs="Arial"/>
        </w:rPr>
        <w:t xml:space="preserve"> un nouveau décrochage à 1,</w:t>
      </w:r>
      <w:r w:rsidR="00A7286D">
        <w:rPr>
          <w:rFonts w:ascii="Arial" w:eastAsia="Calibri" w:hAnsi="Arial" w:cs="Arial"/>
        </w:rPr>
        <w:t>8</w:t>
      </w:r>
      <w:r w:rsidRPr="00FE1CB7">
        <w:rPr>
          <w:rFonts w:ascii="Arial" w:eastAsia="Calibri" w:hAnsi="Arial" w:cs="Arial"/>
        </w:rPr>
        <w:t xml:space="preserve"> % </w:t>
      </w:r>
      <w:r w:rsidR="004C4C7E" w:rsidRPr="00FE1CB7">
        <w:rPr>
          <w:rFonts w:ascii="Arial" w:eastAsia="Calibri" w:hAnsi="Arial" w:cs="Arial"/>
        </w:rPr>
        <w:t>(</w:t>
      </w:r>
      <w:r w:rsidR="00522D56" w:rsidRPr="00FE1CB7">
        <w:rPr>
          <w:rFonts w:ascii="Arial" w:eastAsia="Calibri" w:hAnsi="Arial" w:cs="Arial"/>
        </w:rPr>
        <w:t xml:space="preserve">cf. graphique 2). </w:t>
      </w:r>
      <w:r w:rsidR="002A609F" w:rsidRPr="00FE1CB7">
        <w:rPr>
          <w:rFonts w:ascii="Arial" w:eastAsia="Calibri" w:hAnsi="Arial" w:cs="Arial"/>
        </w:rPr>
        <w:t>Depuis son point haut du début 2023 (6,3</w:t>
      </w:r>
      <w:r w:rsidR="00E26839" w:rsidRPr="00FE1CB7">
        <w:rPr>
          <w:rFonts w:ascii="Arial" w:eastAsia="Calibri" w:hAnsi="Arial" w:cs="Arial"/>
        </w:rPr>
        <w:t> %</w:t>
      </w:r>
      <w:r w:rsidR="002A609F" w:rsidRPr="00FE1CB7">
        <w:rPr>
          <w:rFonts w:ascii="Arial" w:eastAsia="Calibri" w:hAnsi="Arial" w:cs="Arial"/>
        </w:rPr>
        <w:t xml:space="preserve"> en février), </w:t>
      </w:r>
      <w:r w:rsidR="007979B2">
        <w:rPr>
          <w:rFonts w:ascii="Arial" w:eastAsia="Calibri" w:hAnsi="Arial" w:cs="Arial"/>
        </w:rPr>
        <w:t>l’inflation</w:t>
      </w:r>
      <w:r w:rsidR="002A609F" w:rsidRPr="00FE1CB7">
        <w:rPr>
          <w:rFonts w:ascii="Arial" w:eastAsia="Calibri" w:hAnsi="Arial" w:cs="Arial"/>
        </w:rPr>
        <w:t xml:space="preserve"> a </w:t>
      </w:r>
      <w:r w:rsidR="000638A4" w:rsidRPr="00FE1CB7">
        <w:rPr>
          <w:rFonts w:ascii="Arial" w:eastAsia="Calibri" w:hAnsi="Arial" w:cs="Arial"/>
        </w:rPr>
        <w:t xml:space="preserve">été </w:t>
      </w:r>
      <w:r w:rsidRPr="00FE1CB7">
        <w:rPr>
          <w:rFonts w:ascii="Arial" w:eastAsia="Calibri" w:hAnsi="Arial" w:cs="Arial"/>
        </w:rPr>
        <w:t xml:space="preserve">plus que </w:t>
      </w:r>
      <w:r w:rsidR="000638A4" w:rsidRPr="00FE1CB7">
        <w:rPr>
          <w:rFonts w:ascii="Arial" w:eastAsia="Calibri" w:hAnsi="Arial" w:cs="Arial"/>
        </w:rPr>
        <w:t>divisé</w:t>
      </w:r>
      <w:r w:rsidR="007979B2">
        <w:rPr>
          <w:rFonts w:ascii="Arial" w:eastAsia="Calibri" w:hAnsi="Arial" w:cs="Arial"/>
        </w:rPr>
        <w:t>e</w:t>
      </w:r>
      <w:r w:rsidR="000638A4" w:rsidRPr="00FE1CB7">
        <w:rPr>
          <w:rFonts w:ascii="Arial" w:eastAsia="Calibri" w:hAnsi="Arial" w:cs="Arial"/>
        </w:rPr>
        <w:t xml:space="preserve"> par trois</w:t>
      </w:r>
      <w:r w:rsidR="002A609F" w:rsidRPr="00FE1CB7">
        <w:rPr>
          <w:rFonts w:ascii="Arial" w:eastAsia="Calibri" w:hAnsi="Arial" w:cs="Arial"/>
        </w:rPr>
        <w:t xml:space="preserve">. </w:t>
      </w:r>
    </w:p>
    <w:p w14:paraId="1EED0B3F" w14:textId="77777777" w:rsidR="00BA6471" w:rsidRPr="00865E66" w:rsidRDefault="00BA6471">
      <w:pPr>
        <w:rPr>
          <w:rFonts w:ascii="Arial" w:hAnsi="Arial" w:cs="Arial"/>
        </w:rPr>
      </w:pPr>
      <w:r w:rsidRPr="00865E66">
        <w:rPr>
          <w:rFonts w:ascii="Arial" w:hAnsi="Arial" w:cs="Arial"/>
        </w:rPr>
        <w:br w:type="page"/>
      </w:r>
    </w:p>
    <w:p w14:paraId="28C39B29" w14:textId="0C652299" w:rsidR="002C15D0" w:rsidRDefault="002C15D0" w:rsidP="002C15D0">
      <w:pPr>
        <w:tabs>
          <w:tab w:val="left" w:pos="1843"/>
        </w:tabs>
        <w:spacing w:after="0" w:line="360" w:lineRule="auto"/>
        <w:jc w:val="center"/>
        <w:rPr>
          <w:rFonts w:ascii="Arial" w:hAnsi="Arial" w:cs="Arial"/>
        </w:rPr>
      </w:pPr>
      <w:r w:rsidRPr="000F18D0">
        <w:rPr>
          <w:rFonts w:ascii="Arial" w:hAnsi="Arial" w:cs="Arial"/>
        </w:rPr>
        <w:lastRenderedPageBreak/>
        <w:t xml:space="preserve">Graphique </w:t>
      </w:r>
      <w:r w:rsidR="00533807">
        <w:rPr>
          <w:rFonts w:ascii="Arial" w:hAnsi="Arial" w:cs="Arial"/>
        </w:rPr>
        <w:t>2</w:t>
      </w:r>
      <w:r w:rsidRPr="000F18D0">
        <w:rPr>
          <w:rFonts w:ascii="Arial" w:hAnsi="Arial" w:cs="Arial"/>
        </w:rPr>
        <w:t xml:space="preserve"> – </w:t>
      </w:r>
      <w:r w:rsidRPr="000F18D0">
        <w:rPr>
          <w:rFonts w:ascii="Arial" w:hAnsi="Arial" w:cs="Arial"/>
          <w:b/>
        </w:rPr>
        <w:t xml:space="preserve">Taux </w:t>
      </w:r>
      <w:r>
        <w:rPr>
          <w:rFonts w:ascii="Arial" w:hAnsi="Arial" w:cs="Arial"/>
          <w:b/>
        </w:rPr>
        <w:t>d’inflation</w:t>
      </w:r>
      <w:r w:rsidR="00A42986">
        <w:rPr>
          <w:rFonts w:ascii="Arial" w:hAnsi="Arial" w:cs="Arial"/>
          <w:b/>
        </w:rPr>
        <w:t xml:space="preserve"> </w:t>
      </w:r>
    </w:p>
    <w:p w14:paraId="732440FF" w14:textId="76CBD2C9" w:rsidR="002C15D0" w:rsidRDefault="00A7286D" w:rsidP="006F5A71">
      <w:pPr>
        <w:spacing w:after="60" w:line="240" w:lineRule="auto"/>
        <w:jc w:val="both"/>
        <w:rPr>
          <w:rFonts w:ascii="Arial" w:hAnsi="Arial" w:cs="Arial"/>
        </w:rPr>
      </w:pPr>
      <w:r w:rsidRPr="00A7286D">
        <w:rPr>
          <w:rFonts w:ascii="Arial" w:hAnsi="Arial" w:cs="Arial"/>
          <w:noProof/>
        </w:rPr>
        <w:drawing>
          <wp:inline distT="0" distB="0" distL="0" distR="0" wp14:anchorId="5B8D8D5E" wp14:editId="0929DFED">
            <wp:extent cx="5760720" cy="3082290"/>
            <wp:effectExtent l="0" t="0" r="0" b="3810"/>
            <wp:docPr id="1496118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82290"/>
                    </a:xfrm>
                    <a:prstGeom prst="rect">
                      <a:avLst/>
                    </a:prstGeom>
                    <a:noFill/>
                    <a:ln>
                      <a:noFill/>
                    </a:ln>
                  </pic:spPr>
                </pic:pic>
              </a:graphicData>
            </a:graphic>
          </wp:inline>
        </w:drawing>
      </w:r>
    </w:p>
    <w:p w14:paraId="50DE63F5" w14:textId="77777777" w:rsidR="002C15D0" w:rsidRPr="009548B8" w:rsidRDefault="002C15D0" w:rsidP="00DB722D">
      <w:pPr>
        <w:spacing w:after="60" w:line="360" w:lineRule="auto"/>
        <w:jc w:val="center"/>
        <w:rPr>
          <w:rFonts w:ascii="Arial" w:hAnsi="Arial" w:cs="Arial"/>
        </w:rPr>
      </w:pPr>
      <w:r w:rsidRPr="009548B8">
        <w:rPr>
          <w:rFonts w:ascii="Arial" w:hAnsi="Arial" w:cs="Arial"/>
          <w:i/>
          <w:sz w:val="20"/>
        </w:rPr>
        <w:t>Source : Insee</w:t>
      </w:r>
    </w:p>
    <w:p w14:paraId="56A54B73" w14:textId="1C6674EA" w:rsidR="00B02EA3" w:rsidRPr="00BA3DB9" w:rsidRDefault="0047249B" w:rsidP="00B02EA3">
      <w:pPr>
        <w:tabs>
          <w:tab w:val="left" w:pos="3261"/>
        </w:tabs>
        <w:spacing w:after="120" w:line="360" w:lineRule="auto"/>
        <w:jc w:val="both"/>
        <w:rPr>
          <w:rFonts w:ascii="Arial" w:hAnsi="Arial" w:cs="Arial"/>
        </w:rPr>
      </w:pPr>
      <w:r w:rsidRPr="00585D0C">
        <w:rPr>
          <w:rFonts w:ascii="Arial" w:hAnsi="Arial" w:cs="Arial"/>
        </w:rPr>
        <w:t xml:space="preserve">Compte tenu </w:t>
      </w:r>
      <w:r w:rsidR="0091468A" w:rsidRPr="00585D0C">
        <w:rPr>
          <w:rFonts w:ascii="Arial" w:hAnsi="Arial" w:cs="Arial"/>
        </w:rPr>
        <w:t>de</w:t>
      </w:r>
      <w:r w:rsidRPr="00585D0C">
        <w:rPr>
          <w:rFonts w:ascii="Arial" w:hAnsi="Arial" w:cs="Arial"/>
        </w:rPr>
        <w:t xml:space="preserve"> cette rapide décélération</w:t>
      </w:r>
      <w:r w:rsidR="0091468A" w:rsidRPr="00585D0C">
        <w:rPr>
          <w:rFonts w:ascii="Arial" w:hAnsi="Arial" w:cs="Arial"/>
        </w:rPr>
        <w:t>, la Banque centrale européenne (BCE) a abaiss</w:t>
      </w:r>
      <w:r w:rsidR="00BA3DB9">
        <w:rPr>
          <w:rFonts w:ascii="Arial" w:hAnsi="Arial" w:cs="Arial"/>
        </w:rPr>
        <w:t>é</w:t>
      </w:r>
      <w:r w:rsidR="0091468A" w:rsidRPr="00585D0C">
        <w:rPr>
          <w:rFonts w:ascii="Arial" w:hAnsi="Arial" w:cs="Arial"/>
        </w:rPr>
        <w:t>, en juin</w:t>
      </w:r>
      <w:r w:rsidR="00BA3DB9">
        <w:rPr>
          <w:rFonts w:ascii="Arial" w:hAnsi="Arial" w:cs="Arial"/>
        </w:rPr>
        <w:t xml:space="preserve"> puis en septembre</w:t>
      </w:r>
      <w:r w:rsidR="0091468A" w:rsidRPr="00585D0C">
        <w:rPr>
          <w:rFonts w:ascii="Arial" w:hAnsi="Arial" w:cs="Arial"/>
        </w:rPr>
        <w:t>, ses taux directeurs</w:t>
      </w:r>
      <w:r w:rsidR="005B1A04" w:rsidRPr="00585D0C">
        <w:rPr>
          <w:rFonts w:ascii="Arial" w:hAnsi="Arial" w:cs="Arial"/>
        </w:rPr>
        <w:t xml:space="preserve"> (cf. graphique 3)</w:t>
      </w:r>
      <w:r w:rsidR="0040619D">
        <w:rPr>
          <w:rFonts w:ascii="Arial" w:hAnsi="Arial" w:cs="Arial"/>
        </w:rPr>
        <w:t xml:space="preserve"> </w:t>
      </w:r>
      <w:r w:rsidR="00BA3DB9">
        <w:rPr>
          <w:rFonts w:ascii="Arial" w:hAnsi="Arial" w:cs="Arial"/>
        </w:rPr>
        <w:t>et le mouvement devrait se</w:t>
      </w:r>
      <w:r w:rsidR="0040619D">
        <w:rPr>
          <w:rFonts w:ascii="Arial" w:hAnsi="Arial" w:cs="Arial"/>
        </w:rPr>
        <w:t xml:space="preserve"> poursuiv</w:t>
      </w:r>
      <w:r w:rsidR="00BA3DB9">
        <w:rPr>
          <w:rFonts w:ascii="Arial" w:hAnsi="Arial" w:cs="Arial"/>
        </w:rPr>
        <w:t>re.</w:t>
      </w:r>
    </w:p>
    <w:p w14:paraId="6C05893F" w14:textId="36D66F02" w:rsidR="00B26F31" w:rsidRDefault="008A1067" w:rsidP="00601C65">
      <w:pPr>
        <w:spacing w:after="0" w:line="360" w:lineRule="auto"/>
        <w:jc w:val="center"/>
        <w:rPr>
          <w:rFonts w:ascii="Arial" w:hAnsi="Arial" w:cs="Arial"/>
        </w:rPr>
      </w:pPr>
      <w:r w:rsidRPr="000F18D0">
        <w:rPr>
          <w:rFonts w:ascii="Arial" w:hAnsi="Arial" w:cs="Arial"/>
        </w:rPr>
        <w:t xml:space="preserve">Graphique </w:t>
      </w:r>
      <w:r w:rsidR="008866ED">
        <w:rPr>
          <w:rFonts w:ascii="Arial" w:hAnsi="Arial" w:cs="Arial"/>
        </w:rPr>
        <w:t>3</w:t>
      </w:r>
      <w:r w:rsidRPr="000F18D0">
        <w:rPr>
          <w:rFonts w:ascii="Arial" w:hAnsi="Arial" w:cs="Arial"/>
        </w:rPr>
        <w:t xml:space="preserve"> </w:t>
      </w:r>
      <w:r w:rsidR="00582F3F" w:rsidRPr="000F18D0">
        <w:rPr>
          <w:rFonts w:ascii="Arial" w:hAnsi="Arial" w:cs="Arial"/>
        </w:rPr>
        <w:t>–</w:t>
      </w:r>
      <w:r w:rsidRPr="000F18D0">
        <w:rPr>
          <w:rFonts w:ascii="Arial" w:hAnsi="Arial" w:cs="Arial"/>
        </w:rPr>
        <w:t xml:space="preserve"> </w:t>
      </w:r>
      <w:r w:rsidR="00582F3F" w:rsidRPr="000F18D0">
        <w:rPr>
          <w:rFonts w:ascii="Arial" w:hAnsi="Arial" w:cs="Arial"/>
          <w:b/>
        </w:rPr>
        <w:t xml:space="preserve">Taux </w:t>
      </w:r>
      <w:r w:rsidR="00AF51CE" w:rsidRPr="000F18D0">
        <w:rPr>
          <w:rFonts w:ascii="Arial" w:hAnsi="Arial" w:cs="Arial"/>
          <w:b/>
        </w:rPr>
        <w:t>d’intérêt</w:t>
      </w:r>
    </w:p>
    <w:p w14:paraId="54103E12" w14:textId="3E37E318" w:rsidR="00582F3F" w:rsidRDefault="00B34C3A" w:rsidP="0023257F">
      <w:pPr>
        <w:spacing w:after="60" w:line="240" w:lineRule="auto"/>
        <w:jc w:val="both"/>
        <w:rPr>
          <w:rFonts w:ascii="Arial" w:hAnsi="Arial" w:cs="Arial"/>
        </w:rPr>
      </w:pPr>
      <w:r w:rsidRPr="00B34C3A">
        <w:rPr>
          <w:rFonts w:ascii="Arial" w:hAnsi="Arial" w:cs="Arial"/>
          <w:noProof/>
        </w:rPr>
        <w:drawing>
          <wp:inline distT="0" distB="0" distL="0" distR="0" wp14:anchorId="09CC32D9" wp14:editId="57EC3A2B">
            <wp:extent cx="5760720" cy="3091815"/>
            <wp:effectExtent l="0" t="0" r="0" b="0"/>
            <wp:docPr id="1563157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91815"/>
                    </a:xfrm>
                    <a:prstGeom prst="rect">
                      <a:avLst/>
                    </a:prstGeom>
                    <a:noFill/>
                    <a:ln>
                      <a:noFill/>
                    </a:ln>
                  </pic:spPr>
                </pic:pic>
              </a:graphicData>
            </a:graphic>
          </wp:inline>
        </w:drawing>
      </w:r>
    </w:p>
    <w:p w14:paraId="508BC01D" w14:textId="018CE57D" w:rsidR="00AC3A2C" w:rsidRDefault="00AF51CE" w:rsidP="00AC3A2C">
      <w:pPr>
        <w:spacing w:after="120" w:line="360" w:lineRule="auto"/>
        <w:jc w:val="center"/>
        <w:rPr>
          <w:rFonts w:ascii="Arial" w:hAnsi="Arial" w:cs="Arial"/>
          <w:i/>
          <w:sz w:val="20"/>
        </w:rPr>
      </w:pPr>
      <w:r w:rsidRPr="007847E1">
        <w:rPr>
          <w:rFonts w:ascii="Arial" w:hAnsi="Arial" w:cs="Arial"/>
          <w:i/>
          <w:sz w:val="20"/>
        </w:rPr>
        <w:t xml:space="preserve">Source : Banque centrale européenne, Banque de </w:t>
      </w:r>
      <w:r w:rsidR="00AC3A2C">
        <w:rPr>
          <w:rFonts w:ascii="Arial" w:hAnsi="Arial" w:cs="Arial"/>
          <w:i/>
          <w:sz w:val="20"/>
        </w:rPr>
        <w:t>France</w:t>
      </w:r>
    </w:p>
    <w:p w14:paraId="23C89CDD" w14:textId="5C2DEDCA" w:rsidR="00D967C4" w:rsidRPr="0078319C" w:rsidRDefault="00BA3DB9" w:rsidP="00D967C4">
      <w:pPr>
        <w:tabs>
          <w:tab w:val="left" w:pos="3261"/>
        </w:tabs>
        <w:spacing w:after="120" w:line="360" w:lineRule="auto"/>
        <w:jc w:val="both"/>
        <w:rPr>
          <w:rFonts w:ascii="Arial" w:hAnsi="Arial" w:cs="Arial"/>
        </w:rPr>
      </w:pPr>
      <w:r>
        <w:rPr>
          <w:rFonts w:ascii="Arial" w:hAnsi="Arial" w:cs="Arial"/>
        </w:rPr>
        <w:t xml:space="preserve">L’impact s’en mesure déjà sur le marché. Ainsi, </w:t>
      </w:r>
      <w:r w:rsidR="0005320B">
        <w:rPr>
          <w:rFonts w:ascii="Arial" w:hAnsi="Arial" w:cs="Arial"/>
        </w:rPr>
        <w:t>le</w:t>
      </w:r>
      <w:r w:rsidR="00DE6369" w:rsidRPr="0078319C">
        <w:rPr>
          <w:rFonts w:ascii="Arial" w:hAnsi="Arial" w:cs="Arial"/>
        </w:rPr>
        <w:t xml:space="preserve"> </w:t>
      </w:r>
      <w:r w:rsidR="009C52B3" w:rsidRPr="0078319C">
        <w:rPr>
          <w:rFonts w:ascii="Arial" w:hAnsi="Arial" w:cs="Arial"/>
        </w:rPr>
        <w:t xml:space="preserve">taux </w:t>
      </w:r>
      <w:r w:rsidR="006E4723" w:rsidRPr="0078319C">
        <w:rPr>
          <w:rFonts w:ascii="Arial" w:hAnsi="Arial" w:cs="Arial"/>
        </w:rPr>
        <w:t xml:space="preserve">moyen </w:t>
      </w:r>
      <w:r w:rsidR="009C52B3" w:rsidRPr="0078319C">
        <w:rPr>
          <w:rFonts w:ascii="Arial" w:hAnsi="Arial" w:cs="Arial"/>
        </w:rPr>
        <w:t>des crédits immobiliers aux particuliers</w:t>
      </w:r>
      <w:r w:rsidR="00904402" w:rsidRPr="0078319C">
        <w:rPr>
          <w:rFonts w:ascii="Arial" w:hAnsi="Arial" w:cs="Arial"/>
        </w:rPr>
        <w:t>, h</w:t>
      </w:r>
      <w:r w:rsidR="00AF7E4F" w:rsidRPr="0078319C">
        <w:rPr>
          <w:rFonts w:ascii="Arial" w:hAnsi="Arial" w:cs="Arial"/>
        </w:rPr>
        <w:t xml:space="preserve">ors assurance et coût des sûretés, </w:t>
      </w:r>
      <w:r w:rsidR="0078319C" w:rsidRPr="0078319C">
        <w:rPr>
          <w:rFonts w:ascii="Arial" w:hAnsi="Arial" w:cs="Arial"/>
        </w:rPr>
        <w:t>décr</w:t>
      </w:r>
      <w:r>
        <w:rPr>
          <w:rFonts w:ascii="Arial" w:hAnsi="Arial" w:cs="Arial"/>
        </w:rPr>
        <w:t>oit depuis l</w:t>
      </w:r>
      <w:r w:rsidR="0078319C" w:rsidRPr="0078319C">
        <w:rPr>
          <w:rFonts w:ascii="Arial" w:hAnsi="Arial" w:cs="Arial"/>
        </w:rPr>
        <w:t>e</w:t>
      </w:r>
      <w:r w:rsidR="00FE0E71" w:rsidRPr="0078319C">
        <w:rPr>
          <w:rFonts w:ascii="Arial" w:hAnsi="Arial" w:cs="Arial"/>
        </w:rPr>
        <w:t xml:space="preserve"> </w:t>
      </w:r>
      <w:r w:rsidR="00204C65" w:rsidRPr="0078319C">
        <w:rPr>
          <w:rFonts w:ascii="Arial" w:hAnsi="Arial" w:cs="Arial"/>
        </w:rPr>
        <w:t>début</w:t>
      </w:r>
      <w:r w:rsidR="00FE0E71" w:rsidRPr="0078319C">
        <w:rPr>
          <w:rFonts w:ascii="Arial" w:hAnsi="Arial" w:cs="Arial"/>
        </w:rPr>
        <w:t xml:space="preserve"> 20</w:t>
      </w:r>
      <w:r w:rsidR="00204C65" w:rsidRPr="0078319C">
        <w:rPr>
          <w:rFonts w:ascii="Arial" w:hAnsi="Arial" w:cs="Arial"/>
        </w:rPr>
        <w:t xml:space="preserve">24 </w:t>
      </w:r>
      <w:r w:rsidR="00197319" w:rsidRPr="0078319C">
        <w:rPr>
          <w:rFonts w:ascii="Arial" w:hAnsi="Arial" w:cs="Arial"/>
        </w:rPr>
        <w:t xml:space="preserve">pour </w:t>
      </w:r>
      <w:r w:rsidR="008032B8" w:rsidRPr="0078319C">
        <w:rPr>
          <w:rFonts w:ascii="Arial" w:hAnsi="Arial" w:cs="Arial"/>
        </w:rPr>
        <w:t xml:space="preserve">atteindre </w:t>
      </w:r>
      <w:r w:rsidR="005451B5" w:rsidRPr="0078319C">
        <w:rPr>
          <w:rFonts w:ascii="Arial" w:hAnsi="Arial" w:cs="Arial"/>
        </w:rPr>
        <w:lastRenderedPageBreak/>
        <w:t>3</w:t>
      </w:r>
      <w:r w:rsidR="00BC0B2F" w:rsidRPr="0078319C">
        <w:rPr>
          <w:rFonts w:ascii="Arial" w:hAnsi="Arial" w:cs="Arial"/>
        </w:rPr>
        <w:t>,</w:t>
      </w:r>
      <w:r w:rsidR="0078319C" w:rsidRPr="0078319C">
        <w:rPr>
          <w:rFonts w:ascii="Arial" w:hAnsi="Arial" w:cs="Arial"/>
        </w:rPr>
        <w:t>62</w:t>
      </w:r>
      <w:r w:rsidR="00E26839" w:rsidRPr="0078319C">
        <w:rPr>
          <w:rFonts w:ascii="Arial" w:hAnsi="Arial" w:cs="Arial"/>
        </w:rPr>
        <w:t> %</w:t>
      </w:r>
      <w:r w:rsidR="009C52B3" w:rsidRPr="0078319C">
        <w:rPr>
          <w:rFonts w:ascii="Arial" w:hAnsi="Arial" w:cs="Arial"/>
        </w:rPr>
        <w:t xml:space="preserve"> </w:t>
      </w:r>
      <w:r w:rsidR="00DE6369" w:rsidRPr="0078319C">
        <w:rPr>
          <w:rFonts w:ascii="Arial" w:hAnsi="Arial" w:cs="Arial"/>
        </w:rPr>
        <w:t xml:space="preserve">en </w:t>
      </w:r>
      <w:r w:rsidR="00273053" w:rsidRPr="0078319C">
        <w:rPr>
          <w:rFonts w:ascii="Arial" w:hAnsi="Arial" w:cs="Arial"/>
        </w:rPr>
        <w:t xml:space="preserve">moyenne </w:t>
      </w:r>
      <w:r w:rsidR="0078319C" w:rsidRPr="0078319C">
        <w:rPr>
          <w:rFonts w:ascii="Arial" w:hAnsi="Arial" w:cs="Arial"/>
        </w:rPr>
        <w:t xml:space="preserve">cet été </w:t>
      </w:r>
      <w:r w:rsidR="009E6630" w:rsidRPr="0078319C">
        <w:rPr>
          <w:rFonts w:ascii="Arial" w:hAnsi="Arial" w:cs="Arial"/>
        </w:rPr>
        <w:t xml:space="preserve">(cf. graphique </w:t>
      </w:r>
      <w:r w:rsidR="00050618" w:rsidRPr="0078319C">
        <w:rPr>
          <w:rFonts w:ascii="Arial" w:hAnsi="Arial" w:cs="Arial"/>
        </w:rPr>
        <w:t>4</w:t>
      </w:r>
      <w:r w:rsidR="009C52B3" w:rsidRPr="0078319C">
        <w:rPr>
          <w:rFonts w:ascii="Arial" w:hAnsi="Arial" w:cs="Arial"/>
        </w:rPr>
        <w:t>)</w:t>
      </w:r>
      <w:r w:rsidR="00C45093" w:rsidRPr="0078319C">
        <w:rPr>
          <w:rFonts w:ascii="Arial" w:hAnsi="Arial" w:cs="Arial"/>
        </w:rPr>
        <w:t>,</w:t>
      </w:r>
      <w:r w:rsidR="003778BC" w:rsidRPr="0078319C">
        <w:rPr>
          <w:rFonts w:ascii="Arial" w:hAnsi="Arial" w:cs="Arial"/>
        </w:rPr>
        <w:t xml:space="preserve"> alors que la durée des prêts </w:t>
      </w:r>
      <w:r w:rsidR="0078319C" w:rsidRPr="0078319C">
        <w:rPr>
          <w:rFonts w:ascii="Arial" w:hAnsi="Arial" w:cs="Arial"/>
        </w:rPr>
        <w:t>s’allonge</w:t>
      </w:r>
      <w:r w:rsidR="003778BC" w:rsidRPr="0078319C">
        <w:rPr>
          <w:rFonts w:ascii="Arial" w:hAnsi="Arial" w:cs="Arial"/>
        </w:rPr>
        <w:t xml:space="preserve"> à </w:t>
      </w:r>
      <w:r w:rsidR="0078319C" w:rsidRPr="0078319C">
        <w:rPr>
          <w:rFonts w:ascii="Arial" w:hAnsi="Arial" w:cs="Arial"/>
        </w:rPr>
        <w:t>près de 250 mois</w:t>
      </w:r>
      <w:r w:rsidR="0005320B">
        <w:rPr>
          <w:rFonts w:ascii="Arial" w:hAnsi="Arial" w:cs="Arial"/>
        </w:rPr>
        <w:t xml:space="preserve"> sur la même période</w:t>
      </w:r>
      <w:r w:rsidR="00CB705F" w:rsidRPr="0078319C">
        <w:rPr>
          <w:rFonts w:ascii="Arial" w:hAnsi="Arial" w:cs="Arial"/>
        </w:rPr>
        <w:t>.</w:t>
      </w:r>
    </w:p>
    <w:p w14:paraId="2C22662B" w14:textId="4F1B6EF6" w:rsidR="00CA2C76" w:rsidRPr="000F18D0" w:rsidRDefault="00066C83" w:rsidP="00066C83">
      <w:pPr>
        <w:spacing w:after="0" w:line="360" w:lineRule="auto"/>
        <w:jc w:val="center"/>
        <w:rPr>
          <w:rFonts w:ascii="Arial" w:hAnsi="Arial" w:cs="Arial"/>
        </w:rPr>
      </w:pPr>
      <w:r>
        <w:rPr>
          <w:rFonts w:ascii="Arial" w:hAnsi="Arial" w:cs="Arial"/>
        </w:rPr>
        <w:t>G</w:t>
      </w:r>
      <w:r w:rsidR="00CA2C76" w:rsidRPr="000F18D0">
        <w:rPr>
          <w:rFonts w:ascii="Arial" w:hAnsi="Arial" w:cs="Arial"/>
        </w:rPr>
        <w:t>raphi</w:t>
      </w:r>
      <w:r w:rsidR="00272F16">
        <w:rPr>
          <w:rFonts w:ascii="Arial" w:hAnsi="Arial" w:cs="Arial"/>
        </w:rPr>
        <w:t xml:space="preserve">que </w:t>
      </w:r>
      <w:r w:rsidR="00050618">
        <w:rPr>
          <w:rFonts w:ascii="Arial" w:hAnsi="Arial" w:cs="Arial"/>
        </w:rPr>
        <w:t>4</w:t>
      </w:r>
      <w:r w:rsidR="00CA2C76" w:rsidRPr="000F18D0">
        <w:rPr>
          <w:rFonts w:ascii="Arial" w:hAnsi="Arial" w:cs="Arial"/>
        </w:rPr>
        <w:t xml:space="preserve"> – </w:t>
      </w:r>
      <w:r w:rsidR="001853A7" w:rsidRPr="009D55AC">
        <w:rPr>
          <w:rFonts w:ascii="Arial" w:hAnsi="Arial" w:cs="Arial"/>
          <w:b/>
        </w:rPr>
        <w:t xml:space="preserve">Taux </w:t>
      </w:r>
      <w:r w:rsidR="001853A7">
        <w:rPr>
          <w:rFonts w:ascii="Arial" w:hAnsi="Arial" w:cs="Arial"/>
          <w:b/>
        </w:rPr>
        <w:t xml:space="preserve">et durées </w:t>
      </w:r>
      <w:r w:rsidR="001853A7" w:rsidRPr="009D55AC">
        <w:rPr>
          <w:rFonts w:ascii="Arial" w:hAnsi="Arial" w:cs="Arial"/>
          <w:b/>
        </w:rPr>
        <w:t xml:space="preserve">des crédits immobiliers </w:t>
      </w:r>
      <w:r w:rsidR="003B7647">
        <w:rPr>
          <w:rFonts w:ascii="Arial" w:hAnsi="Arial" w:cs="Arial"/>
          <w:b/>
        </w:rPr>
        <w:t xml:space="preserve">accordés </w:t>
      </w:r>
      <w:r w:rsidR="001853A7" w:rsidRPr="009D55AC">
        <w:rPr>
          <w:rFonts w:ascii="Arial" w:hAnsi="Arial" w:cs="Arial"/>
          <w:b/>
        </w:rPr>
        <w:t>aux particuliers</w:t>
      </w:r>
    </w:p>
    <w:p w14:paraId="3EB63F63" w14:textId="4C6D1A3A" w:rsidR="00CA2C76" w:rsidRDefault="00CB3FC8" w:rsidP="0023257F">
      <w:pPr>
        <w:spacing w:after="60" w:line="240" w:lineRule="auto"/>
        <w:jc w:val="center"/>
        <w:rPr>
          <w:rFonts w:ascii="Arial" w:hAnsi="Arial" w:cs="Arial"/>
        </w:rPr>
      </w:pPr>
      <w:r w:rsidRPr="00CB3FC8">
        <w:rPr>
          <w:rFonts w:ascii="Arial" w:hAnsi="Arial" w:cs="Arial"/>
          <w:noProof/>
        </w:rPr>
        <w:drawing>
          <wp:inline distT="0" distB="0" distL="0" distR="0" wp14:anchorId="42E7A634" wp14:editId="7E085108">
            <wp:extent cx="5760720" cy="3055620"/>
            <wp:effectExtent l="0" t="0" r="0" b="0"/>
            <wp:docPr id="8053207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70AA828B" w14:textId="487C5C99" w:rsidR="00CA2C76" w:rsidRPr="00053EA0" w:rsidRDefault="00CA2C76" w:rsidP="00632C7A">
      <w:pPr>
        <w:spacing w:after="120" w:line="360" w:lineRule="auto"/>
        <w:jc w:val="center"/>
        <w:rPr>
          <w:rFonts w:ascii="Arial" w:hAnsi="Arial" w:cs="Arial"/>
          <w:i/>
          <w:sz w:val="20"/>
        </w:rPr>
      </w:pPr>
      <w:r w:rsidRPr="007847E1">
        <w:rPr>
          <w:rFonts w:ascii="Arial" w:hAnsi="Arial" w:cs="Arial"/>
          <w:i/>
          <w:sz w:val="20"/>
        </w:rPr>
        <w:t xml:space="preserve">Source : </w:t>
      </w:r>
      <w:r w:rsidR="000F2962">
        <w:rPr>
          <w:rFonts w:ascii="Arial" w:hAnsi="Arial" w:cs="Arial"/>
          <w:i/>
          <w:sz w:val="20"/>
        </w:rPr>
        <w:t xml:space="preserve">Observatoire Crédit </w:t>
      </w:r>
      <w:r w:rsidR="00BF4F5F">
        <w:rPr>
          <w:rFonts w:ascii="Arial" w:hAnsi="Arial" w:cs="Arial"/>
          <w:i/>
          <w:sz w:val="20"/>
        </w:rPr>
        <w:t>L</w:t>
      </w:r>
      <w:r w:rsidR="000F2962">
        <w:rPr>
          <w:rFonts w:ascii="Arial" w:hAnsi="Arial" w:cs="Arial"/>
          <w:i/>
          <w:sz w:val="20"/>
        </w:rPr>
        <w:t>ogement</w:t>
      </w:r>
      <w:r w:rsidR="009232E0">
        <w:rPr>
          <w:rFonts w:ascii="Arial" w:hAnsi="Arial" w:cs="Arial"/>
          <w:i/>
          <w:sz w:val="20"/>
        </w:rPr>
        <w:t>/</w:t>
      </w:r>
      <w:r w:rsidR="000F2962">
        <w:rPr>
          <w:rFonts w:ascii="Arial" w:hAnsi="Arial" w:cs="Arial"/>
          <w:i/>
          <w:sz w:val="20"/>
        </w:rPr>
        <w:t>CSA</w:t>
      </w:r>
      <w:r w:rsidR="009232E0">
        <w:rPr>
          <w:rFonts w:ascii="Arial" w:hAnsi="Arial" w:cs="Arial"/>
          <w:i/>
          <w:sz w:val="20"/>
        </w:rPr>
        <w:t xml:space="preserve"> du financement des marchés résidentiels</w:t>
      </w:r>
    </w:p>
    <w:p w14:paraId="2B9703C3" w14:textId="690855E4" w:rsidR="00225205" w:rsidRPr="00294B16" w:rsidRDefault="00BA3DB9" w:rsidP="00080E72">
      <w:pPr>
        <w:tabs>
          <w:tab w:val="left" w:pos="3261"/>
        </w:tabs>
        <w:spacing w:after="120" w:line="360" w:lineRule="auto"/>
        <w:jc w:val="both"/>
        <w:rPr>
          <w:rFonts w:ascii="Arial" w:hAnsi="Arial" w:cs="Arial"/>
        </w:rPr>
      </w:pPr>
      <w:r>
        <w:rPr>
          <w:rFonts w:ascii="Arial" w:hAnsi="Arial" w:cs="Arial"/>
        </w:rPr>
        <w:t>L</w:t>
      </w:r>
      <w:r w:rsidR="00294B16" w:rsidRPr="00294B16">
        <w:rPr>
          <w:rFonts w:ascii="Arial" w:hAnsi="Arial" w:cs="Arial"/>
        </w:rPr>
        <w:t xml:space="preserve">e marché du crédit commence </w:t>
      </w:r>
      <w:r>
        <w:rPr>
          <w:rFonts w:ascii="Arial" w:hAnsi="Arial" w:cs="Arial"/>
        </w:rPr>
        <w:t xml:space="preserve">donc </w:t>
      </w:r>
      <w:r w:rsidR="00294B16" w:rsidRPr="00294B16">
        <w:rPr>
          <w:rFonts w:ascii="Arial" w:hAnsi="Arial" w:cs="Arial"/>
        </w:rPr>
        <w:t>à se réouvrir</w:t>
      </w:r>
      <w:r w:rsidR="00226D82" w:rsidRPr="00294B16">
        <w:rPr>
          <w:rFonts w:ascii="Arial" w:hAnsi="Arial" w:cs="Arial"/>
        </w:rPr>
        <w:t xml:space="preserve"> (cf. graphique 5)</w:t>
      </w:r>
      <w:r>
        <w:rPr>
          <w:rFonts w:ascii="Arial" w:hAnsi="Arial" w:cs="Arial"/>
        </w:rPr>
        <w:t>, d’autant que les établissements prêteurs margent à nouveau sur ces crédits, ce qui renforce la concurrence entre eux</w:t>
      </w:r>
      <w:r w:rsidR="00BF4EB4" w:rsidRPr="00294B16">
        <w:rPr>
          <w:rFonts w:ascii="Arial" w:hAnsi="Arial" w:cs="Arial"/>
        </w:rPr>
        <w:t>.</w:t>
      </w:r>
    </w:p>
    <w:p w14:paraId="6FFBEBE9" w14:textId="5125A0CF" w:rsidR="004B4753" w:rsidRDefault="006E4723" w:rsidP="00B02EA3">
      <w:pPr>
        <w:spacing w:after="0" w:line="360" w:lineRule="auto"/>
        <w:jc w:val="center"/>
        <w:rPr>
          <w:rFonts w:ascii="Arial" w:hAnsi="Arial" w:cs="Arial"/>
        </w:rPr>
      </w:pPr>
      <w:r>
        <w:rPr>
          <w:rFonts w:ascii="Arial" w:hAnsi="Arial" w:cs="Arial"/>
        </w:rPr>
        <w:t xml:space="preserve">Graphique </w:t>
      </w:r>
      <w:r w:rsidR="00050618">
        <w:rPr>
          <w:rFonts w:ascii="Arial" w:hAnsi="Arial" w:cs="Arial"/>
        </w:rPr>
        <w:t>5</w:t>
      </w:r>
      <w:r w:rsidR="004B4753">
        <w:rPr>
          <w:rFonts w:ascii="Arial" w:hAnsi="Arial" w:cs="Arial"/>
        </w:rPr>
        <w:t xml:space="preserve"> – </w:t>
      </w:r>
      <w:r w:rsidR="004B4753" w:rsidRPr="004B4753">
        <w:rPr>
          <w:rFonts w:ascii="Arial" w:hAnsi="Arial" w:cs="Arial"/>
          <w:b/>
        </w:rPr>
        <w:t xml:space="preserve">Production de crédit </w:t>
      </w:r>
      <w:r w:rsidR="00276E38">
        <w:rPr>
          <w:rFonts w:ascii="Arial" w:hAnsi="Arial" w:cs="Arial"/>
          <w:b/>
        </w:rPr>
        <w:t xml:space="preserve">immobilier </w:t>
      </w:r>
      <w:r w:rsidR="004B4753" w:rsidRPr="004B4753">
        <w:rPr>
          <w:rFonts w:ascii="Arial" w:hAnsi="Arial" w:cs="Arial"/>
          <w:b/>
        </w:rPr>
        <w:t xml:space="preserve">dans le </w:t>
      </w:r>
      <w:r w:rsidR="00CA0776">
        <w:rPr>
          <w:rFonts w:ascii="Arial" w:hAnsi="Arial" w:cs="Arial"/>
          <w:b/>
        </w:rPr>
        <w:t xml:space="preserve">logement </w:t>
      </w:r>
      <w:r w:rsidR="004B4753" w:rsidRPr="004B4753">
        <w:rPr>
          <w:rFonts w:ascii="Arial" w:hAnsi="Arial" w:cs="Arial"/>
          <w:b/>
        </w:rPr>
        <w:t>neuf</w:t>
      </w:r>
    </w:p>
    <w:p w14:paraId="76C03783" w14:textId="57F52380" w:rsidR="00B95853" w:rsidRPr="00A80475" w:rsidRDefault="00CB3FC8" w:rsidP="00B95853">
      <w:pPr>
        <w:spacing w:after="60" w:line="240" w:lineRule="auto"/>
        <w:jc w:val="both"/>
        <w:rPr>
          <w:rFonts w:ascii="Arial" w:hAnsi="Arial" w:cs="Arial"/>
        </w:rPr>
      </w:pPr>
      <w:r w:rsidRPr="00CB3FC8">
        <w:rPr>
          <w:rFonts w:ascii="Arial" w:hAnsi="Arial" w:cs="Arial"/>
          <w:noProof/>
        </w:rPr>
        <w:drawing>
          <wp:inline distT="0" distB="0" distL="0" distR="0" wp14:anchorId="7F345E78" wp14:editId="4FE8B09E">
            <wp:extent cx="5760720" cy="3064510"/>
            <wp:effectExtent l="0" t="0" r="0" b="2540"/>
            <wp:docPr id="2645131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26AA9C82" w14:textId="326D503D" w:rsidR="00B95853" w:rsidRPr="00AF51CE" w:rsidRDefault="00B95853" w:rsidP="00B95853">
      <w:pPr>
        <w:spacing w:after="120" w:line="360" w:lineRule="auto"/>
        <w:jc w:val="center"/>
        <w:rPr>
          <w:rFonts w:ascii="Arial" w:hAnsi="Arial" w:cs="Arial"/>
          <w:i/>
          <w:sz w:val="20"/>
          <w:szCs w:val="20"/>
        </w:rPr>
      </w:pPr>
      <w:r w:rsidRPr="00A80475">
        <w:rPr>
          <w:rFonts w:ascii="Arial" w:hAnsi="Arial" w:cs="Arial"/>
          <w:i/>
          <w:sz w:val="20"/>
        </w:rPr>
        <w:t xml:space="preserve">Source : Observatoire Crédit </w:t>
      </w:r>
      <w:r w:rsidR="00BF4F5F" w:rsidRPr="00A80475">
        <w:rPr>
          <w:rFonts w:ascii="Arial" w:hAnsi="Arial" w:cs="Arial"/>
          <w:i/>
          <w:sz w:val="20"/>
        </w:rPr>
        <w:t>L</w:t>
      </w:r>
      <w:r w:rsidRPr="00A80475">
        <w:rPr>
          <w:rFonts w:ascii="Arial" w:hAnsi="Arial" w:cs="Arial"/>
          <w:i/>
          <w:sz w:val="20"/>
        </w:rPr>
        <w:t>ogement/CSA du financement des marchés résidentiels</w:t>
      </w:r>
    </w:p>
    <w:p w14:paraId="2A6DC322" w14:textId="0E9B1AC8" w:rsidR="00BF4EB4" w:rsidRPr="009E3B93" w:rsidRDefault="009E3B93" w:rsidP="00BF4EB4">
      <w:pPr>
        <w:tabs>
          <w:tab w:val="left" w:pos="3261"/>
        </w:tabs>
        <w:spacing w:after="120" w:line="360" w:lineRule="auto"/>
        <w:jc w:val="both"/>
        <w:rPr>
          <w:rFonts w:ascii="Arial" w:hAnsi="Arial" w:cs="Arial"/>
        </w:rPr>
      </w:pPr>
      <w:r w:rsidRPr="009E3B93">
        <w:rPr>
          <w:rFonts w:ascii="Arial" w:hAnsi="Arial" w:cs="Arial"/>
        </w:rPr>
        <w:lastRenderedPageBreak/>
        <w:t>Ainsi, l</w:t>
      </w:r>
      <w:r w:rsidR="00BF4EB4" w:rsidRPr="009E3B93">
        <w:rPr>
          <w:rFonts w:ascii="Arial" w:hAnsi="Arial" w:cs="Arial"/>
        </w:rPr>
        <w:t xml:space="preserve">e volume (en euros) de nouveaux prêts immobiliers aux ménages </w:t>
      </w:r>
      <w:r w:rsidRPr="009E3B93">
        <w:rPr>
          <w:rFonts w:ascii="Arial" w:hAnsi="Arial" w:cs="Arial"/>
        </w:rPr>
        <w:t>se redresse</w:t>
      </w:r>
      <w:r w:rsidR="00BF4EB4" w:rsidRPr="009E3B93">
        <w:rPr>
          <w:rFonts w:ascii="Arial" w:hAnsi="Arial" w:cs="Arial"/>
        </w:rPr>
        <w:t xml:space="preserve"> </w:t>
      </w:r>
      <w:r w:rsidR="007917B0">
        <w:rPr>
          <w:rFonts w:ascii="Arial" w:hAnsi="Arial" w:cs="Arial"/>
        </w:rPr>
        <w:t xml:space="preserve">de </w:t>
      </w:r>
      <w:r w:rsidRPr="009E3B93">
        <w:rPr>
          <w:rFonts w:ascii="Arial" w:hAnsi="Arial" w:cs="Arial"/>
        </w:rPr>
        <w:t>2</w:t>
      </w:r>
      <w:r w:rsidR="00026068">
        <w:rPr>
          <w:rFonts w:ascii="Arial" w:hAnsi="Arial" w:cs="Arial"/>
        </w:rPr>
        <w:t>3</w:t>
      </w:r>
      <w:r w:rsidRPr="009E3B93">
        <w:rPr>
          <w:rFonts w:ascii="Arial" w:hAnsi="Arial" w:cs="Arial"/>
        </w:rPr>
        <w:t>,</w:t>
      </w:r>
      <w:r w:rsidR="00026068">
        <w:rPr>
          <w:rFonts w:ascii="Arial" w:hAnsi="Arial" w:cs="Arial"/>
        </w:rPr>
        <w:t>1</w:t>
      </w:r>
      <w:r w:rsidRPr="009E3B93">
        <w:rPr>
          <w:rFonts w:ascii="Arial" w:hAnsi="Arial" w:cs="Arial"/>
        </w:rPr>
        <w:t> </w:t>
      </w:r>
      <w:r w:rsidR="00BF4EB4" w:rsidRPr="009E3B93">
        <w:rPr>
          <w:rFonts w:ascii="Arial" w:hAnsi="Arial" w:cs="Arial"/>
        </w:rPr>
        <w:t xml:space="preserve">% en glissement annuel sur trois mois à fin </w:t>
      </w:r>
      <w:r w:rsidRPr="009E3B93">
        <w:rPr>
          <w:rFonts w:ascii="Arial" w:hAnsi="Arial" w:cs="Arial"/>
        </w:rPr>
        <w:t>août</w:t>
      </w:r>
      <w:r w:rsidR="00BF4EB4" w:rsidRPr="009E3B93">
        <w:rPr>
          <w:rFonts w:ascii="Arial" w:hAnsi="Arial" w:cs="Arial"/>
        </w:rPr>
        <w:t xml:space="preserve"> 2024, dont </w:t>
      </w:r>
      <w:r w:rsidRPr="009E3B93">
        <w:rPr>
          <w:rFonts w:ascii="Arial" w:hAnsi="Arial" w:cs="Arial"/>
        </w:rPr>
        <w:t>+27,5 </w:t>
      </w:r>
      <w:r w:rsidR="00BF4EB4" w:rsidRPr="009E3B93">
        <w:rPr>
          <w:rFonts w:ascii="Arial" w:hAnsi="Arial" w:cs="Arial"/>
        </w:rPr>
        <w:t xml:space="preserve">% pour </w:t>
      </w:r>
      <w:r w:rsidRPr="009E3B93">
        <w:rPr>
          <w:rFonts w:ascii="Arial" w:hAnsi="Arial" w:cs="Arial"/>
        </w:rPr>
        <w:t>l</w:t>
      </w:r>
      <w:r w:rsidR="00BF4EB4" w:rsidRPr="009E3B93">
        <w:rPr>
          <w:rFonts w:ascii="Arial" w:hAnsi="Arial" w:cs="Arial"/>
        </w:rPr>
        <w:t>e neuf</w:t>
      </w:r>
      <w:r w:rsidR="007917B0">
        <w:rPr>
          <w:rFonts w:ascii="Arial" w:hAnsi="Arial" w:cs="Arial"/>
        </w:rPr>
        <w:t>. Le mouvement ressort</w:t>
      </w:r>
      <w:r w:rsidRPr="009E3B93">
        <w:rPr>
          <w:rFonts w:ascii="Arial" w:hAnsi="Arial" w:cs="Arial"/>
        </w:rPr>
        <w:t xml:space="preserve"> encore </w:t>
      </w:r>
      <w:r w:rsidR="007917B0">
        <w:rPr>
          <w:rFonts w:ascii="Arial" w:hAnsi="Arial" w:cs="Arial"/>
        </w:rPr>
        <w:t>plus remarquabl</w:t>
      </w:r>
      <w:r w:rsidRPr="009E3B93">
        <w:rPr>
          <w:rFonts w:ascii="Arial" w:hAnsi="Arial" w:cs="Arial"/>
        </w:rPr>
        <w:t xml:space="preserve">e </w:t>
      </w:r>
      <w:r w:rsidR="007917B0">
        <w:rPr>
          <w:rFonts w:ascii="Arial" w:hAnsi="Arial" w:cs="Arial"/>
        </w:rPr>
        <w:t xml:space="preserve">pour </w:t>
      </w:r>
      <w:r w:rsidR="00BF4EB4" w:rsidRPr="009E3B93">
        <w:rPr>
          <w:rFonts w:ascii="Arial" w:hAnsi="Arial" w:cs="Arial"/>
        </w:rPr>
        <w:t>le nombre de prêts distribués</w:t>
      </w:r>
      <w:r w:rsidR="007917B0">
        <w:rPr>
          <w:rFonts w:ascii="Arial" w:hAnsi="Arial" w:cs="Arial"/>
        </w:rPr>
        <w:t>,</w:t>
      </w:r>
      <w:r w:rsidR="00BF4EB4" w:rsidRPr="009E3B93">
        <w:rPr>
          <w:rFonts w:ascii="Arial" w:hAnsi="Arial" w:cs="Arial"/>
        </w:rPr>
        <w:t xml:space="preserve"> à +</w:t>
      </w:r>
      <w:r w:rsidR="00026068">
        <w:rPr>
          <w:rFonts w:ascii="Arial" w:hAnsi="Arial" w:cs="Arial"/>
        </w:rPr>
        <w:t>48</w:t>
      </w:r>
      <w:r w:rsidR="00BF4EB4" w:rsidRPr="009E3B93">
        <w:rPr>
          <w:rFonts w:ascii="Arial" w:hAnsi="Arial" w:cs="Arial"/>
        </w:rPr>
        <w:t>,</w:t>
      </w:r>
      <w:r w:rsidR="00026068">
        <w:rPr>
          <w:rFonts w:ascii="Arial" w:hAnsi="Arial" w:cs="Arial"/>
        </w:rPr>
        <w:t>6</w:t>
      </w:r>
      <w:r w:rsidR="00BF4EB4" w:rsidRPr="009E3B93">
        <w:rPr>
          <w:rFonts w:ascii="Arial" w:hAnsi="Arial" w:cs="Arial"/>
        </w:rPr>
        <w:t> % et même +</w:t>
      </w:r>
      <w:r w:rsidR="009A77EB">
        <w:rPr>
          <w:rFonts w:ascii="Arial" w:hAnsi="Arial" w:cs="Arial"/>
        </w:rPr>
        <w:t>69,0 </w:t>
      </w:r>
      <w:r w:rsidR="00BF4EB4" w:rsidRPr="009E3B93">
        <w:rPr>
          <w:rFonts w:ascii="Arial" w:hAnsi="Arial" w:cs="Arial"/>
        </w:rPr>
        <w:t xml:space="preserve">% pour l’ensemble et le neuf. Pour autant, </w:t>
      </w:r>
      <w:r w:rsidRPr="009E3B93">
        <w:rPr>
          <w:rFonts w:ascii="Arial" w:hAnsi="Arial" w:cs="Arial"/>
        </w:rPr>
        <w:t>il n’y aura de véritable reprise du marché qu’avec un</w:t>
      </w:r>
      <w:r w:rsidR="00795C5F">
        <w:rPr>
          <w:rFonts w:ascii="Arial" w:hAnsi="Arial" w:cs="Arial"/>
        </w:rPr>
        <w:t xml:space="preserve"> </w:t>
      </w:r>
      <w:r w:rsidRPr="009E3B93">
        <w:rPr>
          <w:rFonts w:ascii="Arial" w:hAnsi="Arial" w:cs="Arial"/>
        </w:rPr>
        <w:t>desserrement du niveau de</w:t>
      </w:r>
      <w:r w:rsidR="00BF4EB4" w:rsidRPr="009E3B93">
        <w:rPr>
          <w:rFonts w:ascii="Arial" w:hAnsi="Arial" w:cs="Arial"/>
        </w:rPr>
        <w:t xml:space="preserve"> l’apport personnel</w:t>
      </w:r>
      <w:r w:rsidR="007917B0">
        <w:rPr>
          <w:rFonts w:ascii="Arial" w:hAnsi="Arial" w:cs="Arial"/>
        </w:rPr>
        <w:t xml:space="preserve"> demandé</w:t>
      </w:r>
      <w:r w:rsidR="00BF4EB4" w:rsidRPr="009E3B93">
        <w:rPr>
          <w:rFonts w:ascii="Arial" w:hAnsi="Arial" w:cs="Arial"/>
        </w:rPr>
        <w:t xml:space="preserve">, </w:t>
      </w:r>
      <w:r w:rsidR="007917B0">
        <w:rPr>
          <w:rFonts w:ascii="Arial" w:hAnsi="Arial" w:cs="Arial"/>
        </w:rPr>
        <w:t>en hausse continue</w:t>
      </w:r>
      <w:r w:rsidR="00BF4EB4" w:rsidRPr="009E3B93">
        <w:rPr>
          <w:rFonts w:ascii="Arial" w:hAnsi="Arial" w:cs="Arial"/>
        </w:rPr>
        <w:t xml:space="preserve"> depuis 2020 (cf. graphique 6). Pour </w:t>
      </w:r>
      <w:r w:rsidR="00795C5F">
        <w:rPr>
          <w:rFonts w:ascii="Arial" w:hAnsi="Arial" w:cs="Arial"/>
        </w:rPr>
        <w:t>ce faire, une des solutions consiste à</w:t>
      </w:r>
      <w:r w:rsidR="00BF4EB4" w:rsidRPr="009E3B93">
        <w:rPr>
          <w:rFonts w:ascii="Arial" w:hAnsi="Arial" w:cs="Arial"/>
        </w:rPr>
        <w:t xml:space="preserve"> re</w:t>
      </w:r>
      <w:r w:rsidR="007917B0">
        <w:rPr>
          <w:rFonts w:ascii="Arial" w:hAnsi="Arial" w:cs="Arial"/>
        </w:rPr>
        <w:t>donner de la vigueur au</w:t>
      </w:r>
      <w:r w:rsidR="00BF4EB4" w:rsidRPr="009E3B93">
        <w:rPr>
          <w:rFonts w:ascii="Arial" w:hAnsi="Arial" w:cs="Arial"/>
        </w:rPr>
        <w:t xml:space="preserve"> PTZ</w:t>
      </w:r>
      <w:r w:rsidR="00795C5F">
        <w:rPr>
          <w:rFonts w:ascii="Arial" w:hAnsi="Arial" w:cs="Arial"/>
        </w:rPr>
        <w:t xml:space="preserve"> </w:t>
      </w:r>
      <w:r w:rsidR="007917B0">
        <w:rPr>
          <w:rFonts w:ascii="Arial" w:hAnsi="Arial" w:cs="Arial"/>
        </w:rPr>
        <w:t>sur</w:t>
      </w:r>
      <w:r w:rsidR="00795C5F">
        <w:rPr>
          <w:rFonts w:ascii="Arial" w:hAnsi="Arial" w:cs="Arial"/>
        </w:rPr>
        <w:t xml:space="preserve"> l’ensemble du territoire</w:t>
      </w:r>
      <w:r w:rsidR="00BF4EB4" w:rsidRPr="009E3B93">
        <w:rPr>
          <w:rFonts w:ascii="Arial" w:hAnsi="Arial" w:cs="Arial"/>
        </w:rPr>
        <w:t>.</w:t>
      </w:r>
    </w:p>
    <w:p w14:paraId="1797DC59" w14:textId="147A1469" w:rsidR="00376B22" w:rsidRDefault="00376B22" w:rsidP="00376B22">
      <w:pPr>
        <w:spacing w:after="60" w:line="360" w:lineRule="auto"/>
        <w:jc w:val="center"/>
        <w:rPr>
          <w:rFonts w:ascii="Arial" w:hAnsi="Arial" w:cs="Arial"/>
        </w:rPr>
      </w:pPr>
      <w:r>
        <w:rPr>
          <w:rFonts w:ascii="Arial" w:hAnsi="Arial" w:cs="Arial"/>
        </w:rPr>
        <w:t xml:space="preserve">Graphique 6 – </w:t>
      </w:r>
      <w:r w:rsidRPr="00376B22">
        <w:rPr>
          <w:rFonts w:ascii="Arial" w:hAnsi="Arial" w:cs="Arial"/>
          <w:b/>
          <w:bCs/>
        </w:rPr>
        <w:t>Apport personnel et coût des opérations pour les ménages</w:t>
      </w:r>
    </w:p>
    <w:p w14:paraId="54FCE61D" w14:textId="3C08BFC6" w:rsidR="00376B22" w:rsidRDefault="00CB3FC8" w:rsidP="00376B22">
      <w:pPr>
        <w:spacing w:after="60" w:line="240" w:lineRule="auto"/>
        <w:jc w:val="both"/>
        <w:rPr>
          <w:rFonts w:ascii="Arial" w:hAnsi="Arial" w:cs="Arial"/>
        </w:rPr>
      </w:pPr>
      <w:r w:rsidRPr="00CB3FC8">
        <w:rPr>
          <w:rFonts w:ascii="Arial" w:hAnsi="Arial" w:cs="Arial"/>
          <w:noProof/>
        </w:rPr>
        <w:drawing>
          <wp:inline distT="0" distB="0" distL="0" distR="0" wp14:anchorId="60DE8B50" wp14:editId="69775207">
            <wp:extent cx="5760720" cy="3064510"/>
            <wp:effectExtent l="0" t="0" r="0" b="2540"/>
            <wp:docPr id="19902107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2E33A34C" w14:textId="77777777" w:rsidR="00376B22" w:rsidRPr="00AF51CE" w:rsidRDefault="00376B22" w:rsidP="00376B22">
      <w:pPr>
        <w:spacing w:after="120" w:line="360" w:lineRule="auto"/>
        <w:jc w:val="center"/>
        <w:rPr>
          <w:rFonts w:ascii="Arial" w:hAnsi="Arial" w:cs="Arial"/>
          <w:i/>
          <w:sz w:val="20"/>
          <w:szCs w:val="20"/>
        </w:rPr>
      </w:pPr>
      <w:r w:rsidRPr="00A80475">
        <w:rPr>
          <w:rFonts w:ascii="Arial" w:hAnsi="Arial" w:cs="Arial"/>
          <w:i/>
          <w:sz w:val="20"/>
        </w:rPr>
        <w:t>Source : Observatoire Crédit Logement/CSA du financement des marchés résidentiels</w:t>
      </w:r>
    </w:p>
    <w:p w14:paraId="218E3B1C" w14:textId="6F5F271F" w:rsidR="00435A2D" w:rsidRPr="00026068" w:rsidRDefault="00026068" w:rsidP="00376B22">
      <w:pPr>
        <w:spacing w:after="120" w:line="360" w:lineRule="auto"/>
        <w:jc w:val="both"/>
        <w:rPr>
          <w:rFonts w:ascii="Arial" w:hAnsi="Arial" w:cs="Arial"/>
        </w:rPr>
      </w:pPr>
      <w:r w:rsidRPr="00026068">
        <w:rPr>
          <w:rFonts w:ascii="Arial" w:hAnsi="Arial" w:cs="Arial"/>
        </w:rPr>
        <w:t>D’autant que</w:t>
      </w:r>
      <w:r w:rsidR="007917B0">
        <w:rPr>
          <w:rFonts w:ascii="Arial" w:hAnsi="Arial" w:cs="Arial"/>
        </w:rPr>
        <w:t>,</w:t>
      </w:r>
      <w:r w:rsidRPr="00026068">
        <w:rPr>
          <w:rFonts w:ascii="Arial" w:hAnsi="Arial" w:cs="Arial"/>
        </w:rPr>
        <w:t xml:space="preserve"> depuis fin juillet, </w:t>
      </w:r>
      <w:r w:rsidR="007917B0">
        <w:rPr>
          <w:rFonts w:ascii="Arial" w:hAnsi="Arial" w:cs="Arial"/>
        </w:rPr>
        <w:t xml:space="preserve">l’achat d’un logement retrouve de l’attrait pour </w:t>
      </w:r>
      <w:r w:rsidRPr="00026068">
        <w:rPr>
          <w:rFonts w:ascii="Arial" w:hAnsi="Arial" w:cs="Arial"/>
        </w:rPr>
        <w:t>les ménages (cf. graphique 7), comme en témoigne le</w:t>
      </w:r>
      <w:r w:rsidR="00242268">
        <w:rPr>
          <w:rFonts w:ascii="Arial" w:hAnsi="Arial" w:cs="Arial"/>
        </w:rPr>
        <w:t>ur</w:t>
      </w:r>
      <w:r w:rsidRPr="00026068">
        <w:rPr>
          <w:rFonts w:ascii="Arial" w:hAnsi="Arial" w:cs="Arial"/>
        </w:rPr>
        <w:t xml:space="preserve"> solde d’opinion associé </w:t>
      </w:r>
      <w:r w:rsidR="006C7E60">
        <w:rPr>
          <w:rFonts w:ascii="Arial" w:hAnsi="Arial" w:cs="Arial"/>
        </w:rPr>
        <w:t>qui bascule en territoire positif</w:t>
      </w:r>
      <w:r w:rsidRPr="00026068">
        <w:rPr>
          <w:rFonts w:ascii="Arial" w:hAnsi="Arial" w:cs="Arial"/>
        </w:rPr>
        <w:t>.</w:t>
      </w:r>
    </w:p>
    <w:p w14:paraId="2D70742F" w14:textId="77777777" w:rsidR="006200BB" w:rsidRDefault="006200BB">
      <w:pPr>
        <w:rPr>
          <w:rFonts w:ascii="Arial" w:hAnsi="Arial" w:cs="Arial"/>
        </w:rPr>
      </w:pPr>
      <w:r>
        <w:rPr>
          <w:rFonts w:ascii="Arial" w:hAnsi="Arial" w:cs="Arial"/>
        </w:rPr>
        <w:br w:type="page"/>
      </w:r>
    </w:p>
    <w:p w14:paraId="2F68A937" w14:textId="23772919" w:rsidR="00435A2D" w:rsidRDefault="00435A2D" w:rsidP="00435A2D">
      <w:pPr>
        <w:spacing w:after="0" w:line="360" w:lineRule="auto"/>
        <w:jc w:val="center"/>
        <w:rPr>
          <w:rFonts w:ascii="Arial" w:hAnsi="Arial" w:cs="Arial"/>
        </w:rPr>
      </w:pPr>
      <w:r>
        <w:rPr>
          <w:rFonts w:ascii="Arial" w:hAnsi="Arial" w:cs="Arial"/>
        </w:rPr>
        <w:lastRenderedPageBreak/>
        <w:t xml:space="preserve">Graphique </w:t>
      </w:r>
      <w:r w:rsidR="00376B22">
        <w:rPr>
          <w:rFonts w:ascii="Arial" w:hAnsi="Arial" w:cs="Arial"/>
        </w:rPr>
        <w:t>7</w:t>
      </w:r>
      <w:r>
        <w:rPr>
          <w:rFonts w:ascii="Arial" w:hAnsi="Arial" w:cs="Arial"/>
        </w:rPr>
        <w:t xml:space="preserve"> – </w:t>
      </w:r>
      <w:r>
        <w:rPr>
          <w:rFonts w:ascii="Arial" w:hAnsi="Arial" w:cs="Arial"/>
          <w:b/>
        </w:rPr>
        <w:t>Perspectives de dépenses en immobilier des ménages</w:t>
      </w:r>
    </w:p>
    <w:p w14:paraId="5D305CC0" w14:textId="112A3F71" w:rsidR="00435A2D" w:rsidRPr="000A4916" w:rsidRDefault="00CB3FC8" w:rsidP="00435A2D">
      <w:pPr>
        <w:spacing w:after="60" w:line="240" w:lineRule="auto"/>
        <w:jc w:val="both"/>
        <w:rPr>
          <w:rFonts w:ascii="Arial" w:hAnsi="Arial" w:cs="Arial"/>
          <w:highlight w:val="yellow"/>
        </w:rPr>
      </w:pPr>
      <w:r w:rsidRPr="00CB3FC8">
        <w:rPr>
          <w:rFonts w:ascii="Arial" w:hAnsi="Arial" w:cs="Arial"/>
          <w:noProof/>
        </w:rPr>
        <w:drawing>
          <wp:inline distT="0" distB="0" distL="0" distR="0" wp14:anchorId="7F290343" wp14:editId="2EC7F41B">
            <wp:extent cx="5760720" cy="3064510"/>
            <wp:effectExtent l="0" t="0" r="0" b="2540"/>
            <wp:docPr id="193674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23630D50" w14:textId="50B3D100" w:rsidR="00435A2D" w:rsidRPr="00AF51CE" w:rsidRDefault="00294505" w:rsidP="00435A2D">
      <w:pPr>
        <w:spacing w:after="120" w:line="360" w:lineRule="auto"/>
        <w:jc w:val="center"/>
        <w:rPr>
          <w:rFonts w:ascii="Arial" w:hAnsi="Arial" w:cs="Arial"/>
          <w:i/>
          <w:sz w:val="20"/>
          <w:szCs w:val="20"/>
        </w:rPr>
      </w:pPr>
      <w:r>
        <w:rPr>
          <w:rFonts w:ascii="Arial" w:hAnsi="Arial" w:cs="Arial"/>
          <w:i/>
          <w:sz w:val="20"/>
        </w:rPr>
        <w:t>Source : c</w:t>
      </w:r>
      <w:r w:rsidR="00670B56">
        <w:rPr>
          <w:rFonts w:ascii="Arial" w:hAnsi="Arial" w:cs="Arial"/>
          <w:i/>
          <w:sz w:val="20"/>
        </w:rPr>
        <w:t>alculs FFB d’après Insee</w:t>
      </w:r>
    </w:p>
    <w:p w14:paraId="182EB3C2" w14:textId="7B9FF075" w:rsidR="006005F0" w:rsidRPr="00284962" w:rsidRDefault="005879CF" w:rsidP="006005F0">
      <w:pPr>
        <w:spacing w:after="120" w:line="360" w:lineRule="auto"/>
        <w:jc w:val="both"/>
        <w:rPr>
          <w:rFonts w:ascii="Arial" w:hAnsi="Arial" w:cs="Arial"/>
        </w:rPr>
      </w:pPr>
      <w:r w:rsidRPr="00284962">
        <w:rPr>
          <w:rFonts w:ascii="Arial" w:hAnsi="Arial" w:cs="Arial"/>
        </w:rPr>
        <w:t xml:space="preserve">S’agissant </w:t>
      </w:r>
      <w:r w:rsidR="0054603B" w:rsidRPr="00284962">
        <w:rPr>
          <w:rFonts w:ascii="Arial" w:hAnsi="Arial" w:cs="Arial"/>
        </w:rPr>
        <w:t>des</w:t>
      </w:r>
      <w:r w:rsidRPr="00284962">
        <w:rPr>
          <w:rFonts w:ascii="Arial" w:hAnsi="Arial" w:cs="Arial"/>
        </w:rPr>
        <w:t xml:space="preserve"> </w:t>
      </w:r>
      <w:r w:rsidR="0054603B" w:rsidRPr="00284962">
        <w:rPr>
          <w:rFonts w:ascii="Arial" w:hAnsi="Arial" w:cs="Arial"/>
        </w:rPr>
        <w:t>sociétés non financières</w:t>
      </w:r>
      <w:r w:rsidRPr="00284962">
        <w:rPr>
          <w:rFonts w:ascii="Arial" w:hAnsi="Arial" w:cs="Arial"/>
        </w:rPr>
        <w:t xml:space="preserve">, </w:t>
      </w:r>
      <w:r w:rsidR="007C68AB" w:rsidRPr="00284962">
        <w:rPr>
          <w:rFonts w:ascii="Arial" w:hAnsi="Arial" w:cs="Arial"/>
        </w:rPr>
        <w:t xml:space="preserve">leur </w:t>
      </w:r>
      <w:r w:rsidR="00EE264D" w:rsidRPr="00284962">
        <w:rPr>
          <w:rFonts w:ascii="Arial" w:hAnsi="Arial" w:cs="Arial"/>
        </w:rPr>
        <w:t>encours d</w:t>
      </w:r>
      <w:r w:rsidR="007C68AB" w:rsidRPr="00284962">
        <w:rPr>
          <w:rFonts w:ascii="Arial" w:hAnsi="Arial" w:cs="Arial"/>
        </w:rPr>
        <w:t>’</w:t>
      </w:r>
      <w:r w:rsidR="00EE264D" w:rsidRPr="00284962">
        <w:rPr>
          <w:rFonts w:ascii="Arial" w:hAnsi="Arial" w:cs="Arial"/>
        </w:rPr>
        <w:t>endettement immobilier</w:t>
      </w:r>
      <w:r w:rsidR="00F25BF8" w:rsidRPr="00284962">
        <w:rPr>
          <w:rFonts w:ascii="Arial" w:hAnsi="Arial" w:cs="Arial"/>
        </w:rPr>
        <w:t>, très lié au passé</w:t>
      </w:r>
      <w:r w:rsidR="00B424C5" w:rsidRPr="00284962">
        <w:rPr>
          <w:rFonts w:ascii="Arial" w:hAnsi="Arial" w:cs="Arial"/>
        </w:rPr>
        <w:t xml:space="preserve"> (amortissement des crédits)</w:t>
      </w:r>
      <w:r w:rsidR="00F25BF8" w:rsidRPr="00284962">
        <w:rPr>
          <w:rFonts w:ascii="Arial" w:hAnsi="Arial" w:cs="Arial"/>
        </w:rPr>
        <w:t>,</w:t>
      </w:r>
      <w:r w:rsidR="00EE264D" w:rsidRPr="00284962">
        <w:rPr>
          <w:rFonts w:ascii="Arial" w:hAnsi="Arial" w:cs="Arial"/>
        </w:rPr>
        <w:t xml:space="preserve"> </w:t>
      </w:r>
      <w:r w:rsidR="00284962" w:rsidRPr="00284962">
        <w:rPr>
          <w:rFonts w:ascii="Arial" w:hAnsi="Arial" w:cs="Arial"/>
        </w:rPr>
        <w:t>conserve un rythme de hausse</w:t>
      </w:r>
      <w:r w:rsidR="00DF7BBD" w:rsidRPr="00284962">
        <w:rPr>
          <w:rFonts w:ascii="Arial" w:hAnsi="Arial" w:cs="Arial"/>
        </w:rPr>
        <w:t xml:space="preserve"> </w:t>
      </w:r>
      <w:r w:rsidR="00284962" w:rsidRPr="00284962">
        <w:rPr>
          <w:rFonts w:ascii="Arial" w:hAnsi="Arial" w:cs="Arial"/>
        </w:rPr>
        <w:t>de plus de 5 % depuis</w:t>
      </w:r>
      <w:r w:rsidR="00F052A0" w:rsidRPr="00284962">
        <w:rPr>
          <w:rFonts w:ascii="Arial" w:hAnsi="Arial" w:cs="Arial"/>
        </w:rPr>
        <w:t xml:space="preserve"> </w:t>
      </w:r>
      <w:r w:rsidR="00284962" w:rsidRPr="00284962">
        <w:rPr>
          <w:rFonts w:ascii="Arial" w:hAnsi="Arial" w:cs="Arial"/>
        </w:rPr>
        <w:t xml:space="preserve">début 2024, </w:t>
      </w:r>
      <w:r w:rsidR="004F1F2A" w:rsidRPr="00284962">
        <w:rPr>
          <w:rFonts w:ascii="Arial" w:hAnsi="Arial" w:cs="Arial"/>
        </w:rPr>
        <w:t>alors que</w:t>
      </w:r>
      <w:r w:rsidR="00284962" w:rsidRPr="00284962">
        <w:rPr>
          <w:rFonts w:ascii="Arial" w:hAnsi="Arial" w:cs="Arial"/>
        </w:rPr>
        <w:t xml:space="preserve"> </w:t>
      </w:r>
      <w:r w:rsidR="00EE264D" w:rsidRPr="00284962">
        <w:rPr>
          <w:rFonts w:ascii="Arial" w:hAnsi="Arial" w:cs="Arial"/>
        </w:rPr>
        <w:t>l’ensemble des crédits à l’investissement</w:t>
      </w:r>
      <w:r w:rsidR="007B18D4" w:rsidRPr="00284962">
        <w:rPr>
          <w:rFonts w:ascii="Arial" w:hAnsi="Arial" w:cs="Arial"/>
        </w:rPr>
        <w:t xml:space="preserve"> </w:t>
      </w:r>
      <w:r w:rsidR="00284962" w:rsidRPr="00284962">
        <w:rPr>
          <w:rFonts w:ascii="Arial" w:hAnsi="Arial" w:cs="Arial"/>
        </w:rPr>
        <w:t>ne cesse de ralentir</w:t>
      </w:r>
      <w:r w:rsidR="004F1F2A" w:rsidRPr="00284962">
        <w:rPr>
          <w:rFonts w:ascii="Arial" w:hAnsi="Arial" w:cs="Arial"/>
        </w:rPr>
        <w:t xml:space="preserve"> pour s’établir à </w:t>
      </w:r>
      <w:r w:rsidR="008E2C12" w:rsidRPr="00284962">
        <w:rPr>
          <w:rFonts w:ascii="Arial" w:hAnsi="Arial" w:cs="Arial"/>
        </w:rPr>
        <w:t>3</w:t>
      </w:r>
      <w:r w:rsidR="000E12BD" w:rsidRPr="00284962">
        <w:rPr>
          <w:rFonts w:ascii="Arial" w:hAnsi="Arial" w:cs="Arial"/>
        </w:rPr>
        <w:t>,</w:t>
      </w:r>
      <w:r w:rsidR="00284962" w:rsidRPr="00284962">
        <w:rPr>
          <w:rFonts w:ascii="Arial" w:hAnsi="Arial" w:cs="Arial"/>
        </w:rPr>
        <w:t>0</w:t>
      </w:r>
      <w:r w:rsidR="00E26839" w:rsidRPr="00284962">
        <w:rPr>
          <w:rFonts w:ascii="Arial" w:hAnsi="Arial" w:cs="Arial"/>
        </w:rPr>
        <w:t> %</w:t>
      </w:r>
      <w:r w:rsidR="000D5296" w:rsidRPr="00284962">
        <w:rPr>
          <w:rFonts w:ascii="Arial" w:hAnsi="Arial" w:cs="Arial"/>
        </w:rPr>
        <w:t xml:space="preserve"> </w:t>
      </w:r>
      <w:r w:rsidR="004B3232" w:rsidRPr="00284962">
        <w:rPr>
          <w:rFonts w:ascii="Arial" w:hAnsi="Arial" w:cs="Arial"/>
        </w:rPr>
        <w:t xml:space="preserve">en </w:t>
      </w:r>
      <w:r w:rsidR="00284962" w:rsidRPr="00284962">
        <w:rPr>
          <w:rFonts w:ascii="Arial" w:hAnsi="Arial" w:cs="Arial"/>
        </w:rPr>
        <w:t>jui</w:t>
      </w:r>
      <w:r w:rsidR="00D7071A">
        <w:rPr>
          <w:rFonts w:ascii="Arial" w:hAnsi="Arial" w:cs="Arial"/>
        </w:rPr>
        <w:t>llet</w:t>
      </w:r>
      <w:r w:rsidR="004B3232" w:rsidRPr="00284962">
        <w:rPr>
          <w:rFonts w:ascii="Arial" w:hAnsi="Arial" w:cs="Arial"/>
        </w:rPr>
        <w:t xml:space="preserve"> 2024 </w:t>
      </w:r>
      <w:r w:rsidR="00A73A02" w:rsidRPr="00284962">
        <w:rPr>
          <w:rFonts w:ascii="Arial" w:hAnsi="Arial" w:cs="Arial"/>
        </w:rPr>
        <w:t>(</w:t>
      </w:r>
      <w:r w:rsidR="002E387F" w:rsidRPr="00284962">
        <w:rPr>
          <w:rFonts w:ascii="Arial" w:hAnsi="Arial" w:cs="Arial"/>
        </w:rPr>
        <w:t>cf</w:t>
      </w:r>
      <w:r w:rsidRPr="00284962">
        <w:rPr>
          <w:rFonts w:ascii="Arial" w:hAnsi="Arial" w:cs="Arial"/>
        </w:rPr>
        <w:t xml:space="preserve">. graphique </w:t>
      </w:r>
      <w:r w:rsidR="0024550D" w:rsidRPr="00284962">
        <w:rPr>
          <w:rFonts w:ascii="Arial" w:hAnsi="Arial" w:cs="Arial"/>
        </w:rPr>
        <w:t>8</w:t>
      </w:r>
      <w:r w:rsidRPr="00284962">
        <w:rPr>
          <w:rFonts w:ascii="Arial" w:hAnsi="Arial" w:cs="Arial"/>
        </w:rPr>
        <w:t>).</w:t>
      </w:r>
      <w:r w:rsidR="00506B91" w:rsidRPr="00284962">
        <w:rPr>
          <w:rFonts w:ascii="Arial" w:hAnsi="Arial" w:cs="Arial"/>
        </w:rPr>
        <w:t xml:space="preserve"> </w:t>
      </w:r>
    </w:p>
    <w:p w14:paraId="7CE06094" w14:textId="594DCAAA" w:rsidR="00096C7A" w:rsidRPr="0030337C" w:rsidRDefault="00D70D3C" w:rsidP="00B946F3">
      <w:pPr>
        <w:spacing w:after="0" w:line="360" w:lineRule="auto"/>
        <w:jc w:val="center"/>
        <w:rPr>
          <w:rFonts w:ascii="Arial" w:hAnsi="Arial" w:cs="Arial"/>
          <w:noProof/>
          <w:color w:val="000000" w:themeColor="text1"/>
          <w:sz w:val="28"/>
          <w:szCs w:val="28"/>
          <w:lang w:eastAsia="fr-FR"/>
        </w:rPr>
      </w:pPr>
      <w:r w:rsidRPr="0030337C">
        <w:rPr>
          <w:rFonts w:ascii="Arial" w:hAnsi="Arial" w:cs="Arial"/>
          <w:color w:val="000000" w:themeColor="text1"/>
        </w:rPr>
        <w:t xml:space="preserve">Graphique </w:t>
      </w:r>
      <w:r w:rsidR="0024550D">
        <w:rPr>
          <w:rFonts w:ascii="Arial" w:hAnsi="Arial" w:cs="Arial"/>
          <w:color w:val="000000" w:themeColor="text1"/>
        </w:rPr>
        <w:t>8</w:t>
      </w:r>
      <w:r w:rsidR="008C7BA2" w:rsidRPr="0030337C">
        <w:rPr>
          <w:rFonts w:ascii="Arial" w:hAnsi="Arial" w:cs="Arial"/>
          <w:color w:val="000000" w:themeColor="text1"/>
        </w:rPr>
        <w:t xml:space="preserve"> – </w:t>
      </w:r>
      <w:r w:rsidR="008C7BA2" w:rsidRPr="0030337C">
        <w:rPr>
          <w:rFonts w:ascii="Arial" w:hAnsi="Arial" w:cs="Arial"/>
          <w:b/>
          <w:color w:val="000000" w:themeColor="text1"/>
        </w:rPr>
        <w:t xml:space="preserve">Encours de crédit </w:t>
      </w:r>
      <w:r w:rsidR="0023257F">
        <w:rPr>
          <w:rFonts w:ascii="Arial" w:hAnsi="Arial" w:cs="Arial"/>
          <w:b/>
          <w:color w:val="000000" w:themeColor="text1"/>
        </w:rPr>
        <w:t>d</w:t>
      </w:r>
      <w:r w:rsidR="008C7BA2" w:rsidRPr="0030337C">
        <w:rPr>
          <w:rFonts w:ascii="Arial" w:hAnsi="Arial" w:cs="Arial"/>
          <w:b/>
          <w:color w:val="000000" w:themeColor="text1"/>
        </w:rPr>
        <w:t>’investissement aux sociétés non financières</w:t>
      </w:r>
    </w:p>
    <w:p w14:paraId="0CEF0EAD" w14:textId="2F0AF687" w:rsidR="00F67AE2" w:rsidRDefault="00CB3FC8" w:rsidP="0023257F">
      <w:pPr>
        <w:spacing w:after="60" w:line="240" w:lineRule="auto"/>
        <w:jc w:val="center"/>
        <w:rPr>
          <w:rFonts w:ascii="Arial" w:hAnsi="Arial" w:cs="Arial"/>
          <w:b/>
        </w:rPr>
      </w:pPr>
      <w:r w:rsidRPr="00CB3FC8">
        <w:rPr>
          <w:rFonts w:ascii="Arial" w:hAnsi="Arial" w:cs="Arial"/>
          <w:b/>
          <w:noProof/>
        </w:rPr>
        <w:drawing>
          <wp:inline distT="0" distB="0" distL="0" distR="0" wp14:anchorId="39620383" wp14:editId="3632B083">
            <wp:extent cx="5760720" cy="3064510"/>
            <wp:effectExtent l="0" t="0" r="0" b="2540"/>
            <wp:docPr id="12186063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5E7B8679" w14:textId="4CFE39B4" w:rsidR="008C7BA2" w:rsidRPr="008C7BA2" w:rsidRDefault="008C7BA2" w:rsidP="00DA5E25">
      <w:pPr>
        <w:spacing w:after="120" w:line="360" w:lineRule="auto"/>
        <w:jc w:val="center"/>
        <w:rPr>
          <w:rFonts w:ascii="Arial" w:hAnsi="Arial" w:cs="Arial"/>
          <w:i/>
          <w:sz w:val="20"/>
          <w:szCs w:val="20"/>
        </w:rPr>
      </w:pPr>
      <w:r w:rsidRPr="008C7BA2">
        <w:rPr>
          <w:rFonts w:ascii="Arial" w:hAnsi="Arial" w:cs="Arial"/>
          <w:i/>
          <w:sz w:val="20"/>
          <w:szCs w:val="20"/>
        </w:rPr>
        <w:t>Source : Banque de France</w:t>
      </w:r>
    </w:p>
    <w:p w14:paraId="212A1D89" w14:textId="77777777" w:rsidR="006200BB" w:rsidRDefault="006200BB">
      <w:pPr>
        <w:rPr>
          <w:rFonts w:ascii="Arial" w:hAnsi="Arial" w:cs="Arial"/>
          <w:b/>
          <w:sz w:val="28"/>
          <w:szCs w:val="28"/>
          <w:u w:val="single"/>
        </w:rPr>
      </w:pPr>
      <w:r>
        <w:rPr>
          <w:rFonts w:ascii="Arial" w:hAnsi="Arial" w:cs="Arial"/>
          <w:b/>
          <w:sz w:val="28"/>
          <w:szCs w:val="28"/>
          <w:u w:val="single"/>
        </w:rPr>
        <w:br w:type="page"/>
      </w:r>
    </w:p>
    <w:p w14:paraId="3B6B2C22" w14:textId="4E25F4B8" w:rsidR="00550240" w:rsidRPr="00AE6454" w:rsidRDefault="00550240" w:rsidP="0024550D">
      <w:pPr>
        <w:spacing w:before="480" w:after="120" w:line="360" w:lineRule="auto"/>
        <w:rPr>
          <w:rFonts w:ascii="Arial" w:hAnsi="Arial" w:cs="Arial"/>
          <w:b/>
          <w:sz w:val="28"/>
          <w:szCs w:val="28"/>
          <w:u w:val="single"/>
        </w:rPr>
      </w:pPr>
      <w:r>
        <w:rPr>
          <w:rFonts w:ascii="Arial" w:hAnsi="Arial" w:cs="Arial"/>
          <w:b/>
          <w:sz w:val="28"/>
          <w:szCs w:val="28"/>
          <w:u w:val="single"/>
        </w:rPr>
        <w:lastRenderedPageBreak/>
        <w:t>2. Les marchés du bâtiment</w:t>
      </w:r>
    </w:p>
    <w:p w14:paraId="0865F3CB" w14:textId="77777777" w:rsidR="00EF2D2E" w:rsidRPr="00DC4924" w:rsidRDefault="00EF2D2E" w:rsidP="001A65E1">
      <w:pPr>
        <w:spacing w:before="360" w:after="120" w:line="360" w:lineRule="auto"/>
        <w:jc w:val="both"/>
        <w:rPr>
          <w:rFonts w:ascii="Arial" w:hAnsi="Arial" w:cs="Arial"/>
          <w:u w:val="single"/>
        </w:rPr>
      </w:pPr>
      <w:r>
        <w:rPr>
          <w:rFonts w:ascii="Arial" w:hAnsi="Arial" w:cs="Arial"/>
          <w:u w:val="single"/>
        </w:rPr>
        <w:t>2.1 Le logement neuf</w:t>
      </w:r>
    </w:p>
    <w:p w14:paraId="6E05D870" w14:textId="0CEAB369" w:rsidR="00644165" w:rsidRPr="00DE26A0" w:rsidRDefault="00644165" w:rsidP="00644165">
      <w:pPr>
        <w:spacing w:before="360" w:after="120" w:line="360" w:lineRule="auto"/>
        <w:jc w:val="both"/>
        <w:rPr>
          <w:rFonts w:ascii="Arial" w:hAnsi="Arial" w:cs="Arial"/>
          <w:i/>
        </w:rPr>
      </w:pPr>
      <w:r w:rsidRPr="00407827">
        <w:rPr>
          <w:rFonts w:ascii="Arial" w:hAnsi="Arial" w:cs="Arial"/>
          <w:i/>
        </w:rPr>
        <w:t>2.1.</w:t>
      </w:r>
      <w:r>
        <w:rPr>
          <w:rFonts w:ascii="Arial" w:hAnsi="Arial" w:cs="Arial"/>
          <w:i/>
        </w:rPr>
        <w:t>1</w:t>
      </w:r>
      <w:r w:rsidRPr="00407827">
        <w:rPr>
          <w:rFonts w:ascii="Arial" w:hAnsi="Arial" w:cs="Arial"/>
          <w:i/>
        </w:rPr>
        <w:t xml:space="preserve"> La construction</w:t>
      </w:r>
    </w:p>
    <w:p w14:paraId="2F08D53C" w14:textId="4C64BA56" w:rsidR="00696B86" w:rsidRPr="00696B86" w:rsidRDefault="00696B86" w:rsidP="00696B86">
      <w:pPr>
        <w:spacing w:after="120" w:line="360" w:lineRule="auto"/>
        <w:jc w:val="both"/>
        <w:rPr>
          <w:rFonts w:ascii="Arial" w:hAnsi="Arial" w:cs="Arial"/>
        </w:rPr>
      </w:pPr>
      <w:r>
        <w:rPr>
          <w:rFonts w:ascii="Arial" w:hAnsi="Arial" w:cs="Arial"/>
        </w:rPr>
        <w:t>E</w:t>
      </w:r>
      <w:r w:rsidRPr="00696B86">
        <w:rPr>
          <w:rFonts w:ascii="Arial" w:hAnsi="Arial" w:cs="Arial"/>
        </w:rPr>
        <w:t xml:space="preserve">n glissement annuel sur sept mois à fin juillet 2024, les mises en chantier et les permis chutent encore </w:t>
      </w:r>
      <w:r w:rsidR="00CB77D6">
        <w:rPr>
          <w:rFonts w:ascii="Arial" w:hAnsi="Arial" w:cs="Arial"/>
        </w:rPr>
        <w:t xml:space="preserve">de </w:t>
      </w:r>
      <w:r w:rsidRPr="00696B86">
        <w:rPr>
          <w:rFonts w:ascii="Arial" w:hAnsi="Arial" w:cs="Arial"/>
        </w:rPr>
        <w:t>13,4</w:t>
      </w:r>
      <w:r w:rsidR="007917B0">
        <w:rPr>
          <w:rFonts w:ascii="Arial" w:hAnsi="Arial" w:cs="Arial"/>
        </w:rPr>
        <w:t> </w:t>
      </w:r>
      <w:r w:rsidRPr="00696B86">
        <w:rPr>
          <w:rFonts w:ascii="Arial" w:hAnsi="Arial" w:cs="Arial"/>
        </w:rPr>
        <w:t>% et 9,9</w:t>
      </w:r>
      <w:r w:rsidR="007917B0">
        <w:rPr>
          <w:rFonts w:ascii="Arial" w:hAnsi="Arial" w:cs="Arial"/>
        </w:rPr>
        <w:t> </w:t>
      </w:r>
      <w:r w:rsidRPr="00696B86">
        <w:rPr>
          <w:rFonts w:ascii="Arial" w:hAnsi="Arial" w:cs="Arial"/>
        </w:rPr>
        <w:t>% (cf. tableau 1)</w:t>
      </w:r>
      <w:r>
        <w:rPr>
          <w:rFonts w:ascii="Arial" w:hAnsi="Arial" w:cs="Arial"/>
        </w:rPr>
        <w:t xml:space="preserve"> </w:t>
      </w:r>
      <w:r w:rsidRPr="00696B86">
        <w:rPr>
          <w:rFonts w:ascii="Arial" w:hAnsi="Arial" w:cs="Arial"/>
        </w:rPr>
        <w:t>mais, sur trois mois, ne reculent plus que de 4,3</w:t>
      </w:r>
      <w:r w:rsidR="007917B0">
        <w:rPr>
          <w:rFonts w:ascii="Arial" w:hAnsi="Arial" w:cs="Arial"/>
        </w:rPr>
        <w:t> </w:t>
      </w:r>
      <w:r w:rsidRPr="00696B86">
        <w:rPr>
          <w:rFonts w:ascii="Arial" w:hAnsi="Arial" w:cs="Arial"/>
        </w:rPr>
        <w:t>% et 6,4</w:t>
      </w:r>
      <w:r w:rsidR="007917B0">
        <w:rPr>
          <w:rFonts w:ascii="Arial" w:hAnsi="Arial" w:cs="Arial"/>
        </w:rPr>
        <w:t> </w:t>
      </w:r>
      <w:r w:rsidRPr="00696B86">
        <w:rPr>
          <w:rFonts w:ascii="Arial" w:hAnsi="Arial" w:cs="Arial"/>
        </w:rPr>
        <w:t>%.</w:t>
      </w:r>
    </w:p>
    <w:p w14:paraId="370C2A9B" w14:textId="43E64B25" w:rsidR="00644165" w:rsidRDefault="00644165" w:rsidP="00644165">
      <w:pPr>
        <w:spacing w:after="0" w:line="360" w:lineRule="auto"/>
        <w:jc w:val="center"/>
        <w:rPr>
          <w:rFonts w:ascii="Arial" w:hAnsi="Arial" w:cs="Arial"/>
          <w:b/>
        </w:rPr>
      </w:pPr>
      <w:r>
        <w:rPr>
          <w:rFonts w:ascii="Arial" w:hAnsi="Arial" w:cs="Arial"/>
        </w:rPr>
        <w:t xml:space="preserve">Tableau 1 </w:t>
      </w:r>
      <w:r w:rsidRPr="009B1AD1">
        <w:rPr>
          <w:rFonts w:ascii="Arial" w:hAnsi="Arial" w:cs="Arial"/>
        </w:rPr>
        <w:t>–</w:t>
      </w:r>
      <w:r>
        <w:rPr>
          <w:rFonts w:ascii="Arial" w:hAnsi="Arial" w:cs="Arial"/>
        </w:rPr>
        <w:t xml:space="preserve"> </w:t>
      </w:r>
      <w:r w:rsidRPr="00CB20BC">
        <w:rPr>
          <w:rFonts w:ascii="Arial" w:hAnsi="Arial" w:cs="Arial"/>
          <w:b/>
        </w:rPr>
        <w:t xml:space="preserve">Évolutions </w:t>
      </w:r>
      <w:r w:rsidRPr="00361390">
        <w:rPr>
          <w:rFonts w:ascii="Arial" w:hAnsi="Arial" w:cs="Arial"/>
        </w:rPr>
        <w:t>(en</w:t>
      </w:r>
      <w:r w:rsidR="007917B0">
        <w:rPr>
          <w:rFonts w:ascii="Arial" w:hAnsi="Arial" w:cs="Arial"/>
        </w:rPr>
        <w:t> %</w:t>
      </w:r>
      <w:r w:rsidRPr="00361390">
        <w:rPr>
          <w:rFonts w:ascii="Arial" w:hAnsi="Arial" w:cs="Arial"/>
        </w:rPr>
        <w:t>, en glissement annuel)</w:t>
      </w:r>
      <w:r>
        <w:rPr>
          <w:rFonts w:ascii="Arial" w:hAnsi="Arial" w:cs="Arial"/>
          <w:b/>
        </w:rPr>
        <w:t xml:space="preserve"> du logement neuf</w:t>
      </w:r>
      <w:r>
        <w:rPr>
          <w:rStyle w:val="Appelnotedebasdep"/>
          <w:rFonts w:ascii="Arial" w:hAnsi="Arial" w:cs="Arial"/>
          <w:b/>
        </w:rPr>
        <w:footnoteReference w:id="2"/>
      </w:r>
    </w:p>
    <w:tbl>
      <w:tblPr>
        <w:tblStyle w:val="Grilledutableau"/>
        <w:tblW w:w="904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4A0" w:firstRow="1" w:lastRow="0" w:firstColumn="1" w:lastColumn="0" w:noHBand="0" w:noVBand="1"/>
      </w:tblPr>
      <w:tblGrid>
        <w:gridCol w:w="2258"/>
        <w:gridCol w:w="2260"/>
        <w:gridCol w:w="2263"/>
        <w:gridCol w:w="2261"/>
      </w:tblGrid>
      <w:tr w:rsidR="00CB3FC8" w:rsidRPr="004E3507" w14:paraId="0F2A9A44" w14:textId="77777777" w:rsidTr="00CD40BA">
        <w:tc>
          <w:tcPr>
            <w:tcW w:w="2258" w:type="dxa"/>
            <w:tcBorders>
              <w:top w:val="single" w:sz="12" w:space="0" w:color="000000" w:themeColor="text1"/>
            </w:tcBorders>
          </w:tcPr>
          <w:p w14:paraId="7D2BDA47" w14:textId="77777777" w:rsidR="00CB3FC8" w:rsidRPr="004E3507" w:rsidRDefault="00CB3FC8" w:rsidP="00CD40BA">
            <w:pPr>
              <w:jc w:val="center"/>
              <w:rPr>
                <w:rFonts w:ascii="Arial" w:hAnsi="Arial" w:cs="Arial"/>
              </w:rPr>
            </w:pPr>
          </w:p>
        </w:tc>
        <w:tc>
          <w:tcPr>
            <w:tcW w:w="2260" w:type="dxa"/>
            <w:tcBorders>
              <w:top w:val="single" w:sz="12" w:space="0" w:color="000000" w:themeColor="text1"/>
            </w:tcBorders>
          </w:tcPr>
          <w:p w14:paraId="1661CD62" w14:textId="77777777" w:rsidR="00CB3FC8" w:rsidRPr="004E3507" w:rsidRDefault="00CB3FC8" w:rsidP="00CD40BA">
            <w:pPr>
              <w:jc w:val="center"/>
              <w:rPr>
                <w:rFonts w:ascii="Arial" w:hAnsi="Arial" w:cs="Arial"/>
              </w:rPr>
            </w:pPr>
            <w:r w:rsidRPr="4FF09C5F">
              <w:rPr>
                <w:rFonts w:ascii="Arial" w:hAnsi="Arial" w:cs="Arial"/>
              </w:rPr>
              <w:t>Individuel</w:t>
            </w:r>
          </w:p>
        </w:tc>
        <w:tc>
          <w:tcPr>
            <w:tcW w:w="2263" w:type="dxa"/>
            <w:tcBorders>
              <w:top w:val="single" w:sz="12" w:space="0" w:color="000000" w:themeColor="text1"/>
            </w:tcBorders>
          </w:tcPr>
          <w:p w14:paraId="4110D82E" w14:textId="77777777" w:rsidR="00CB3FC8" w:rsidRPr="004E3507" w:rsidRDefault="00CB3FC8" w:rsidP="00CD40BA">
            <w:pPr>
              <w:jc w:val="center"/>
              <w:rPr>
                <w:rFonts w:ascii="Arial" w:hAnsi="Arial" w:cs="Arial"/>
              </w:rPr>
            </w:pPr>
            <w:r w:rsidRPr="4FF09C5F">
              <w:rPr>
                <w:rFonts w:ascii="Arial" w:hAnsi="Arial" w:cs="Arial"/>
              </w:rPr>
              <w:t>Collectif</w:t>
            </w:r>
          </w:p>
        </w:tc>
        <w:tc>
          <w:tcPr>
            <w:tcW w:w="2261" w:type="dxa"/>
            <w:tcBorders>
              <w:top w:val="single" w:sz="12" w:space="0" w:color="000000" w:themeColor="text1"/>
            </w:tcBorders>
          </w:tcPr>
          <w:p w14:paraId="3E4243AA" w14:textId="77777777" w:rsidR="00CB3FC8" w:rsidRPr="004E3507" w:rsidRDefault="00CB3FC8" w:rsidP="00CD40BA">
            <w:pPr>
              <w:jc w:val="center"/>
              <w:rPr>
                <w:rFonts w:ascii="Arial" w:hAnsi="Arial" w:cs="Arial"/>
              </w:rPr>
            </w:pPr>
            <w:r w:rsidRPr="4FF09C5F">
              <w:rPr>
                <w:rFonts w:ascii="Arial" w:hAnsi="Arial" w:cs="Arial"/>
              </w:rPr>
              <w:t>Ensemble</w:t>
            </w:r>
          </w:p>
        </w:tc>
      </w:tr>
      <w:tr w:rsidR="00CB3FC8" w:rsidRPr="004E3507" w14:paraId="1B7847D7" w14:textId="77777777" w:rsidTr="00CD40BA">
        <w:tc>
          <w:tcPr>
            <w:tcW w:w="9042" w:type="dxa"/>
            <w:gridSpan w:val="4"/>
          </w:tcPr>
          <w:p w14:paraId="706CDD72" w14:textId="77777777" w:rsidR="00CB3FC8" w:rsidRPr="004E3507" w:rsidRDefault="00CB3FC8" w:rsidP="00CD40BA">
            <w:pPr>
              <w:jc w:val="center"/>
              <w:rPr>
                <w:rFonts w:ascii="Arial" w:hAnsi="Arial" w:cs="Arial"/>
              </w:rPr>
            </w:pPr>
          </w:p>
        </w:tc>
      </w:tr>
      <w:tr w:rsidR="00CB3FC8" w:rsidRPr="004E3507" w14:paraId="7F789E09" w14:textId="77777777" w:rsidTr="00CD40BA">
        <w:tc>
          <w:tcPr>
            <w:tcW w:w="9042" w:type="dxa"/>
            <w:gridSpan w:val="4"/>
            <w:tcBorders>
              <w:bottom w:val="single" w:sz="2" w:space="0" w:color="000000" w:themeColor="text1"/>
            </w:tcBorders>
          </w:tcPr>
          <w:p w14:paraId="7068CC75" w14:textId="77777777" w:rsidR="00CB3FC8" w:rsidRPr="00380189" w:rsidRDefault="00CB3FC8" w:rsidP="00CD40BA">
            <w:pPr>
              <w:jc w:val="center"/>
              <w:rPr>
                <w:rFonts w:ascii="Arial" w:hAnsi="Arial" w:cs="Arial"/>
                <w:i/>
                <w:iCs/>
              </w:rPr>
            </w:pPr>
            <w:r w:rsidRPr="00380189">
              <w:rPr>
                <w:rFonts w:ascii="Arial" w:hAnsi="Arial" w:cs="Arial"/>
                <w:i/>
                <w:iCs/>
              </w:rPr>
              <w:t>Sur trois mois (</w:t>
            </w:r>
            <w:r>
              <w:rPr>
                <w:rFonts w:ascii="Arial" w:hAnsi="Arial" w:cs="Arial"/>
                <w:i/>
                <w:iCs/>
              </w:rPr>
              <w:t>mai</w:t>
            </w:r>
            <w:r w:rsidRPr="00380189">
              <w:rPr>
                <w:rFonts w:ascii="Arial" w:hAnsi="Arial" w:cs="Arial"/>
                <w:i/>
                <w:iCs/>
              </w:rPr>
              <w:t xml:space="preserve"> 2024 → </w:t>
            </w:r>
            <w:r>
              <w:rPr>
                <w:rFonts w:ascii="Arial" w:hAnsi="Arial" w:cs="Arial"/>
                <w:i/>
                <w:iCs/>
              </w:rPr>
              <w:t>juil.</w:t>
            </w:r>
            <w:r w:rsidRPr="00380189">
              <w:rPr>
                <w:rFonts w:ascii="Arial" w:hAnsi="Arial" w:cs="Arial"/>
                <w:i/>
                <w:iCs/>
              </w:rPr>
              <w:t xml:space="preserve"> 2024 / </w:t>
            </w:r>
            <w:r>
              <w:rPr>
                <w:rFonts w:ascii="Arial" w:hAnsi="Arial" w:cs="Arial"/>
                <w:i/>
                <w:iCs/>
              </w:rPr>
              <w:t xml:space="preserve">mai </w:t>
            </w:r>
            <w:r w:rsidRPr="00380189">
              <w:rPr>
                <w:rFonts w:ascii="Arial" w:hAnsi="Arial" w:cs="Arial"/>
                <w:i/>
                <w:iCs/>
              </w:rPr>
              <w:t>2023 →</w:t>
            </w:r>
            <w:r>
              <w:rPr>
                <w:rFonts w:ascii="Arial" w:hAnsi="Arial" w:cs="Arial"/>
                <w:i/>
                <w:iCs/>
              </w:rPr>
              <w:t xml:space="preserve"> juil.</w:t>
            </w:r>
            <w:r w:rsidRPr="00380189">
              <w:rPr>
                <w:rFonts w:ascii="Arial" w:hAnsi="Arial" w:cs="Arial"/>
                <w:i/>
                <w:iCs/>
              </w:rPr>
              <w:t xml:space="preserve"> 2023)</w:t>
            </w:r>
          </w:p>
        </w:tc>
      </w:tr>
      <w:tr w:rsidR="00CB3FC8" w:rsidRPr="004E3507" w14:paraId="460818D7" w14:textId="77777777" w:rsidTr="00CD40BA">
        <w:tc>
          <w:tcPr>
            <w:tcW w:w="2258" w:type="dxa"/>
            <w:tcBorders>
              <w:top w:val="single" w:sz="2" w:space="0" w:color="000000" w:themeColor="text1"/>
              <w:bottom w:val="dashSmallGap" w:sz="4" w:space="0" w:color="000000" w:themeColor="text1"/>
            </w:tcBorders>
          </w:tcPr>
          <w:p w14:paraId="5153B116" w14:textId="77777777" w:rsidR="00CB3FC8" w:rsidRPr="00380189" w:rsidRDefault="00CB3FC8" w:rsidP="00CD40BA">
            <w:pPr>
              <w:jc w:val="center"/>
              <w:rPr>
                <w:rFonts w:ascii="Arial" w:hAnsi="Arial" w:cs="Arial"/>
              </w:rPr>
            </w:pPr>
            <w:r w:rsidRPr="00380189">
              <w:rPr>
                <w:rFonts w:ascii="Arial" w:hAnsi="Arial" w:cs="Arial"/>
              </w:rPr>
              <w:t>Autorisations</w:t>
            </w:r>
          </w:p>
        </w:tc>
        <w:tc>
          <w:tcPr>
            <w:tcW w:w="2260" w:type="dxa"/>
            <w:tcBorders>
              <w:top w:val="single" w:sz="2" w:space="0" w:color="000000" w:themeColor="text1"/>
              <w:bottom w:val="dashSmallGap" w:sz="4" w:space="0" w:color="000000" w:themeColor="text1"/>
            </w:tcBorders>
          </w:tcPr>
          <w:p w14:paraId="12BD6F8A" w14:textId="35795031" w:rsidR="00CB3FC8" w:rsidRPr="00380189" w:rsidRDefault="00CB3FC8" w:rsidP="00CD40BA">
            <w:pPr>
              <w:jc w:val="center"/>
              <w:rPr>
                <w:rFonts w:ascii="Arial" w:hAnsi="Arial" w:cs="Arial"/>
              </w:rPr>
            </w:pPr>
            <w:r>
              <w:rPr>
                <w:rFonts w:ascii="Arial" w:hAnsi="Arial" w:cs="Arial"/>
              </w:rPr>
              <w:t>-8,4</w:t>
            </w:r>
            <w:r w:rsidR="007917B0">
              <w:rPr>
                <w:rFonts w:ascii="Arial" w:hAnsi="Arial" w:cs="Arial"/>
              </w:rPr>
              <w:t> %</w:t>
            </w:r>
          </w:p>
        </w:tc>
        <w:tc>
          <w:tcPr>
            <w:tcW w:w="2263" w:type="dxa"/>
            <w:tcBorders>
              <w:top w:val="single" w:sz="2" w:space="0" w:color="000000" w:themeColor="text1"/>
              <w:bottom w:val="dashSmallGap" w:sz="4" w:space="0" w:color="000000" w:themeColor="text1"/>
            </w:tcBorders>
          </w:tcPr>
          <w:p w14:paraId="086CACBF" w14:textId="2E3ED4AC" w:rsidR="00CB3FC8" w:rsidRPr="00380189" w:rsidRDefault="00CB3FC8" w:rsidP="00CD40BA">
            <w:pPr>
              <w:jc w:val="center"/>
              <w:rPr>
                <w:rFonts w:ascii="Arial" w:hAnsi="Arial" w:cs="Arial"/>
              </w:rPr>
            </w:pPr>
            <w:r>
              <w:rPr>
                <w:rFonts w:ascii="Arial" w:hAnsi="Arial" w:cs="Arial"/>
              </w:rPr>
              <w:t>-5,3</w:t>
            </w:r>
            <w:r w:rsidR="007917B0">
              <w:rPr>
                <w:rFonts w:ascii="Arial" w:hAnsi="Arial" w:cs="Arial"/>
              </w:rPr>
              <w:t> %</w:t>
            </w:r>
          </w:p>
        </w:tc>
        <w:tc>
          <w:tcPr>
            <w:tcW w:w="2261" w:type="dxa"/>
            <w:tcBorders>
              <w:top w:val="single" w:sz="2" w:space="0" w:color="000000" w:themeColor="text1"/>
              <w:bottom w:val="dashSmallGap" w:sz="4" w:space="0" w:color="000000" w:themeColor="text1"/>
            </w:tcBorders>
          </w:tcPr>
          <w:p w14:paraId="4C2BC3EC" w14:textId="100D8919" w:rsidR="00CB3FC8" w:rsidRPr="00380189" w:rsidRDefault="00CB3FC8" w:rsidP="00CD40BA">
            <w:pPr>
              <w:jc w:val="center"/>
              <w:rPr>
                <w:rFonts w:ascii="Arial" w:hAnsi="Arial" w:cs="Arial"/>
              </w:rPr>
            </w:pPr>
            <w:r>
              <w:rPr>
                <w:rFonts w:ascii="Arial" w:hAnsi="Arial" w:cs="Arial"/>
              </w:rPr>
              <w:t>-6,4</w:t>
            </w:r>
            <w:r w:rsidR="007917B0">
              <w:rPr>
                <w:rFonts w:ascii="Arial" w:hAnsi="Arial" w:cs="Arial"/>
              </w:rPr>
              <w:t> %</w:t>
            </w:r>
          </w:p>
        </w:tc>
      </w:tr>
      <w:tr w:rsidR="00CB3FC8" w:rsidRPr="004E3507" w14:paraId="17293548" w14:textId="77777777" w:rsidTr="00CD40BA">
        <w:tc>
          <w:tcPr>
            <w:tcW w:w="2258" w:type="dxa"/>
            <w:tcBorders>
              <w:top w:val="dashSmallGap" w:sz="4" w:space="0" w:color="000000" w:themeColor="text1"/>
              <w:bottom w:val="single" w:sz="4" w:space="0" w:color="000000" w:themeColor="text1"/>
            </w:tcBorders>
          </w:tcPr>
          <w:p w14:paraId="3FADBD5B" w14:textId="77777777" w:rsidR="00CB3FC8" w:rsidRPr="00380189" w:rsidRDefault="00CB3FC8" w:rsidP="00CD40BA">
            <w:pPr>
              <w:jc w:val="center"/>
              <w:rPr>
                <w:rFonts w:ascii="Arial" w:hAnsi="Arial" w:cs="Arial"/>
              </w:rPr>
            </w:pPr>
            <w:r w:rsidRPr="00380189">
              <w:rPr>
                <w:rFonts w:ascii="Arial" w:hAnsi="Arial" w:cs="Arial"/>
              </w:rPr>
              <w:t>Mises en chantier</w:t>
            </w:r>
          </w:p>
        </w:tc>
        <w:tc>
          <w:tcPr>
            <w:tcW w:w="2260" w:type="dxa"/>
            <w:tcBorders>
              <w:top w:val="dashSmallGap" w:sz="4" w:space="0" w:color="000000" w:themeColor="text1"/>
              <w:bottom w:val="single" w:sz="4" w:space="0" w:color="000000" w:themeColor="text1"/>
            </w:tcBorders>
          </w:tcPr>
          <w:p w14:paraId="07463051" w14:textId="30C49B03" w:rsidR="00CB3FC8" w:rsidRPr="00380189" w:rsidRDefault="00CB3FC8" w:rsidP="00CD40BA">
            <w:pPr>
              <w:jc w:val="center"/>
              <w:rPr>
                <w:rFonts w:ascii="Arial" w:hAnsi="Arial" w:cs="Arial"/>
              </w:rPr>
            </w:pPr>
            <w:r>
              <w:rPr>
                <w:rFonts w:ascii="Arial" w:hAnsi="Arial" w:cs="Arial"/>
              </w:rPr>
              <w:t>-23,0</w:t>
            </w:r>
            <w:r w:rsidR="007917B0">
              <w:rPr>
                <w:rFonts w:ascii="Arial" w:hAnsi="Arial" w:cs="Arial"/>
              </w:rPr>
              <w:t> %</w:t>
            </w:r>
          </w:p>
        </w:tc>
        <w:tc>
          <w:tcPr>
            <w:tcW w:w="2263" w:type="dxa"/>
            <w:tcBorders>
              <w:top w:val="dashSmallGap" w:sz="4" w:space="0" w:color="000000" w:themeColor="text1"/>
              <w:bottom w:val="single" w:sz="4" w:space="0" w:color="000000" w:themeColor="text1"/>
            </w:tcBorders>
          </w:tcPr>
          <w:p w14:paraId="2AB84840" w14:textId="7A25F8A7" w:rsidR="00CB3FC8" w:rsidRPr="00380189" w:rsidRDefault="00CB3FC8" w:rsidP="00CD40BA">
            <w:pPr>
              <w:jc w:val="center"/>
              <w:rPr>
                <w:rFonts w:ascii="Arial" w:hAnsi="Arial" w:cs="Arial"/>
              </w:rPr>
            </w:pPr>
            <w:r>
              <w:rPr>
                <w:rFonts w:ascii="Arial" w:hAnsi="Arial" w:cs="Arial"/>
              </w:rPr>
              <w:t>+11,1</w:t>
            </w:r>
            <w:r w:rsidR="007917B0">
              <w:rPr>
                <w:rFonts w:ascii="Arial" w:hAnsi="Arial" w:cs="Arial"/>
              </w:rPr>
              <w:t> %</w:t>
            </w:r>
          </w:p>
        </w:tc>
        <w:tc>
          <w:tcPr>
            <w:tcW w:w="2261" w:type="dxa"/>
            <w:tcBorders>
              <w:top w:val="dashSmallGap" w:sz="4" w:space="0" w:color="000000" w:themeColor="text1"/>
              <w:bottom w:val="single" w:sz="4" w:space="0" w:color="000000" w:themeColor="text1"/>
            </w:tcBorders>
          </w:tcPr>
          <w:p w14:paraId="7AB89B42" w14:textId="13A4FB7E" w:rsidR="00CB3FC8" w:rsidRPr="00380189" w:rsidRDefault="00CB3FC8" w:rsidP="00CD40BA">
            <w:pPr>
              <w:jc w:val="center"/>
              <w:rPr>
                <w:rFonts w:ascii="Arial" w:hAnsi="Arial" w:cs="Arial"/>
              </w:rPr>
            </w:pPr>
            <w:r>
              <w:rPr>
                <w:rFonts w:ascii="Arial" w:hAnsi="Arial" w:cs="Arial"/>
              </w:rPr>
              <w:t>-4,3</w:t>
            </w:r>
            <w:r w:rsidR="007917B0">
              <w:rPr>
                <w:rFonts w:ascii="Arial" w:hAnsi="Arial" w:cs="Arial"/>
              </w:rPr>
              <w:t> %</w:t>
            </w:r>
          </w:p>
        </w:tc>
      </w:tr>
      <w:tr w:rsidR="00CB3FC8" w:rsidRPr="004E3507" w14:paraId="14FF26CE" w14:textId="77777777" w:rsidTr="00CD40BA">
        <w:tc>
          <w:tcPr>
            <w:tcW w:w="9042" w:type="dxa"/>
            <w:gridSpan w:val="4"/>
            <w:tcBorders>
              <w:top w:val="single" w:sz="4" w:space="0" w:color="000000" w:themeColor="text1"/>
              <w:bottom w:val="single" w:sz="4" w:space="0" w:color="000000" w:themeColor="text1"/>
            </w:tcBorders>
          </w:tcPr>
          <w:p w14:paraId="22EDB9D7" w14:textId="77777777" w:rsidR="00CB3FC8" w:rsidRPr="00380189" w:rsidRDefault="00CB3FC8" w:rsidP="00CD40BA">
            <w:pPr>
              <w:jc w:val="center"/>
              <w:rPr>
                <w:rFonts w:ascii="Arial" w:hAnsi="Arial" w:cs="Arial"/>
              </w:rPr>
            </w:pPr>
          </w:p>
        </w:tc>
      </w:tr>
      <w:tr w:rsidR="00CB3FC8" w:rsidRPr="004E3507" w14:paraId="263277CA" w14:textId="77777777" w:rsidTr="00CD40BA">
        <w:tc>
          <w:tcPr>
            <w:tcW w:w="9042" w:type="dxa"/>
            <w:gridSpan w:val="4"/>
            <w:tcBorders>
              <w:top w:val="single" w:sz="4" w:space="0" w:color="000000" w:themeColor="text1"/>
              <w:bottom w:val="single" w:sz="4" w:space="0" w:color="000000" w:themeColor="text1"/>
            </w:tcBorders>
          </w:tcPr>
          <w:p w14:paraId="1B805B12" w14:textId="77777777" w:rsidR="00CB3FC8" w:rsidRPr="006A74E9" w:rsidRDefault="00CB3FC8" w:rsidP="00CD40BA">
            <w:pPr>
              <w:jc w:val="center"/>
              <w:rPr>
                <w:rFonts w:ascii="Arial" w:hAnsi="Arial" w:cs="Arial"/>
              </w:rPr>
            </w:pPr>
            <w:r w:rsidRPr="006A74E9">
              <w:rPr>
                <w:rFonts w:ascii="Arial" w:hAnsi="Arial" w:cs="Arial"/>
                <w:i/>
                <w:iCs/>
              </w:rPr>
              <w:t xml:space="preserve">Sur </w:t>
            </w:r>
            <w:r>
              <w:rPr>
                <w:rFonts w:ascii="Arial" w:hAnsi="Arial" w:cs="Arial"/>
                <w:i/>
                <w:iCs/>
              </w:rPr>
              <w:t>six</w:t>
            </w:r>
            <w:r w:rsidRPr="006A74E9">
              <w:rPr>
                <w:rFonts w:ascii="Arial" w:hAnsi="Arial" w:cs="Arial"/>
                <w:i/>
                <w:iCs/>
              </w:rPr>
              <w:t xml:space="preserve"> mois (</w:t>
            </w:r>
            <w:r>
              <w:rPr>
                <w:rFonts w:ascii="Arial" w:hAnsi="Arial" w:cs="Arial"/>
                <w:i/>
                <w:iCs/>
              </w:rPr>
              <w:t>fév</w:t>
            </w:r>
            <w:r w:rsidRPr="006A74E9">
              <w:rPr>
                <w:rFonts w:ascii="Arial" w:hAnsi="Arial" w:cs="Arial"/>
                <w:i/>
                <w:iCs/>
              </w:rPr>
              <w:t xml:space="preserve">. 2024 → </w:t>
            </w:r>
            <w:r>
              <w:rPr>
                <w:rFonts w:ascii="Arial" w:hAnsi="Arial" w:cs="Arial"/>
                <w:i/>
                <w:iCs/>
              </w:rPr>
              <w:t>juil.</w:t>
            </w:r>
            <w:r w:rsidRPr="006A74E9">
              <w:rPr>
                <w:rFonts w:ascii="Arial" w:hAnsi="Arial" w:cs="Arial"/>
                <w:i/>
                <w:iCs/>
              </w:rPr>
              <w:t xml:space="preserve"> 2024 / </w:t>
            </w:r>
            <w:r>
              <w:rPr>
                <w:rFonts w:ascii="Arial" w:hAnsi="Arial" w:cs="Arial"/>
                <w:i/>
                <w:iCs/>
              </w:rPr>
              <w:t>fév. 2</w:t>
            </w:r>
            <w:r w:rsidRPr="006A74E9">
              <w:rPr>
                <w:rFonts w:ascii="Arial" w:hAnsi="Arial" w:cs="Arial"/>
                <w:i/>
                <w:iCs/>
              </w:rPr>
              <w:t xml:space="preserve">023 → </w:t>
            </w:r>
            <w:r>
              <w:rPr>
                <w:rFonts w:ascii="Arial" w:hAnsi="Arial" w:cs="Arial"/>
                <w:i/>
                <w:iCs/>
              </w:rPr>
              <w:t>juil.</w:t>
            </w:r>
            <w:r w:rsidRPr="006A74E9">
              <w:rPr>
                <w:rFonts w:ascii="Arial" w:hAnsi="Arial" w:cs="Arial"/>
                <w:i/>
                <w:iCs/>
              </w:rPr>
              <w:t xml:space="preserve"> 2023)</w:t>
            </w:r>
          </w:p>
        </w:tc>
      </w:tr>
      <w:tr w:rsidR="00CB3FC8" w:rsidRPr="004E3507" w14:paraId="280DB907" w14:textId="77777777" w:rsidTr="00CD40BA">
        <w:tc>
          <w:tcPr>
            <w:tcW w:w="2258" w:type="dxa"/>
            <w:tcBorders>
              <w:top w:val="single" w:sz="4" w:space="0" w:color="000000" w:themeColor="text1"/>
              <w:bottom w:val="dashSmallGap" w:sz="4" w:space="0" w:color="000000" w:themeColor="text1"/>
            </w:tcBorders>
          </w:tcPr>
          <w:p w14:paraId="792A4756" w14:textId="77777777" w:rsidR="00CB3FC8" w:rsidRPr="006A74E9" w:rsidRDefault="00CB3FC8" w:rsidP="00CD40BA">
            <w:pPr>
              <w:jc w:val="center"/>
              <w:rPr>
                <w:rFonts w:ascii="Arial" w:hAnsi="Arial" w:cs="Arial"/>
              </w:rPr>
            </w:pPr>
            <w:r w:rsidRPr="006A74E9">
              <w:rPr>
                <w:rFonts w:ascii="Arial" w:hAnsi="Arial" w:cs="Arial"/>
              </w:rPr>
              <w:t>Autorisations</w:t>
            </w:r>
          </w:p>
        </w:tc>
        <w:tc>
          <w:tcPr>
            <w:tcW w:w="2260" w:type="dxa"/>
            <w:tcBorders>
              <w:top w:val="single" w:sz="4" w:space="0" w:color="000000" w:themeColor="text1"/>
              <w:bottom w:val="dashSmallGap" w:sz="4" w:space="0" w:color="000000" w:themeColor="text1"/>
            </w:tcBorders>
          </w:tcPr>
          <w:p w14:paraId="65FFAEF8" w14:textId="25183654" w:rsidR="00CB3FC8" w:rsidRPr="006A74E9" w:rsidRDefault="00CB3FC8" w:rsidP="00CD40BA">
            <w:pPr>
              <w:jc w:val="center"/>
              <w:rPr>
                <w:rFonts w:ascii="Arial" w:hAnsi="Arial" w:cs="Arial"/>
              </w:rPr>
            </w:pPr>
            <w:r>
              <w:rPr>
                <w:rFonts w:ascii="Arial" w:hAnsi="Arial" w:cs="Arial"/>
              </w:rPr>
              <w:t>-13,0</w:t>
            </w:r>
            <w:r w:rsidR="007917B0">
              <w:rPr>
                <w:rFonts w:ascii="Arial" w:hAnsi="Arial" w:cs="Arial"/>
              </w:rPr>
              <w:t> %</w:t>
            </w:r>
          </w:p>
        </w:tc>
        <w:tc>
          <w:tcPr>
            <w:tcW w:w="2263" w:type="dxa"/>
            <w:tcBorders>
              <w:top w:val="single" w:sz="4" w:space="0" w:color="000000" w:themeColor="text1"/>
              <w:bottom w:val="dashSmallGap" w:sz="4" w:space="0" w:color="000000" w:themeColor="text1"/>
            </w:tcBorders>
          </w:tcPr>
          <w:p w14:paraId="1CE83C55" w14:textId="01070B32" w:rsidR="00CB3FC8" w:rsidRPr="006A74E9" w:rsidRDefault="00CB3FC8" w:rsidP="00CD40BA">
            <w:pPr>
              <w:jc w:val="center"/>
              <w:rPr>
                <w:rFonts w:ascii="Arial" w:hAnsi="Arial" w:cs="Arial"/>
              </w:rPr>
            </w:pPr>
            <w:r>
              <w:rPr>
                <w:rFonts w:ascii="Arial" w:hAnsi="Arial" w:cs="Arial"/>
              </w:rPr>
              <w:t>-7,8</w:t>
            </w:r>
            <w:r w:rsidR="007917B0">
              <w:rPr>
                <w:rFonts w:ascii="Arial" w:hAnsi="Arial" w:cs="Arial"/>
              </w:rPr>
              <w:t> %</w:t>
            </w:r>
          </w:p>
        </w:tc>
        <w:tc>
          <w:tcPr>
            <w:tcW w:w="2261" w:type="dxa"/>
            <w:tcBorders>
              <w:top w:val="single" w:sz="4" w:space="0" w:color="000000" w:themeColor="text1"/>
              <w:bottom w:val="dashSmallGap" w:sz="4" w:space="0" w:color="000000" w:themeColor="text1"/>
            </w:tcBorders>
          </w:tcPr>
          <w:p w14:paraId="145F535C" w14:textId="271FF87C" w:rsidR="00CB3FC8" w:rsidRPr="006A74E9" w:rsidRDefault="00CB3FC8" w:rsidP="00CD40BA">
            <w:pPr>
              <w:jc w:val="center"/>
              <w:rPr>
                <w:rFonts w:ascii="Arial" w:hAnsi="Arial" w:cs="Arial"/>
              </w:rPr>
            </w:pPr>
            <w:r>
              <w:rPr>
                <w:rFonts w:ascii="Arial" w:hAnsi="Arial" w:cs="Arial"/>
              </w:rPr>
              <w:t>-9,7</w:t>
            </w:r>
            <w:r w:rsidR="007917B0">
              <w:rPr>
                <w:rFonts w:ascii="Arial" w:hAnsi="Arial" w:cs="Arial"/>
              </w:rPr>
              <w:t> %</w:t>
            </w:r>
          </w:p>
        </w:tc>
      </w:tr>
      <w:tr w:rsidR="00CB3FC8" w:rsidRPr="004E3507" w14:paraId="03534C8E" w14:textId="77777777" w:rsidTr="00CD40BA">
        <w:tc>
          <w:tcPr>
            <w:tcW w:w="2258" w:type="dxa"/>
            <w:tcBorders>
              <w:top w:val="dashSmallGap" w:sz="4" w:space="0" w:color="000000" w:themeColor="text1"/>
              <w:bottom w:val="single" w:sz="2" w:space="0" w:color="000000" w:themeColor="text1"/>
            </w:tcBorders>
          </w:tcPr>
          <w:p w14:paraId="31801BC2" w14:textId="77777777" w:rsidR="00CB3FC8" w:rsidRPr="006A74E9" w:rsidRDefault="00CB3FC8" w:rsidP="00CD40BA">
            <w:pPr>
              <w:jc w:val="center"/>
              <w:rPr>
                <w:rFonts w:ascii="Arial" w:hAnsi="Arial" w:cs="Arial"/>
              </w:rPr>
            </w:pPr>
            <w:r w:rsidRPr="006A74E9">
              <w:rPr>
                <w:rFonts w:ascii="Arial" w:hAnsi="Arial" w:cs="Arial"/>
              </w:rPr>
              <w:t>Mises en chantier</w:t>
            </w:r>
          </w:p>
        </w:tc>
        <w:tc>
          <w:tcPr>
            <w:tcW w:w="2260" w:type="dxa"/>
            <w:tcBorders>
              <w:top w:val="dashSmallGap" w:sz="4" w:space="0" w:color="000000" w:themeColor="text1"/>
              <w:bottom w:val="single" w:sz="2" w:space="0" w:color="000000" w:themeColor="text1"/>
            </w:tcBorders>
          </w:tcPr>
          <w:p w14:paraId="1AB5AFA1" w14:textId="79F887E0" w:rsidR="00CB3FC8" w:rsidRPr="006A74E9" w:rsidRDefault="00CB3FC8" w:rsidP="00CD40BA">
            <w:pPr>
              <w:jc w:val="center"/>
              <w:rPr>
                <w:rFonts w:ascii="Arial" w:hAnsi="Arial" w:cs="Arial"/>
              </w:rPr>
            </w:pPr>
            <w:r>
              <w:rPr>
                <w:rFonts w:ascii="Arial" w:hAnsi="Arial" w:cs="Arial"/>
              </w:rPr>
              <w:t>-21,3</w:t>
            </w:r>
            <w:r w:rsidR="007917B0">
              <w:rPr>
                <w:rFonts w:ascii="Arial" w:hAnsi="Arial" w:cs="Arial"/>
              </w:rPr>
              <w:t> %</w:t>
            </w:r>
          </w:p>
        </w:tc>
        <w:tc>
          <w:tcPr>
            <w:tcW w:w="2263" w:type="dxa"/>
            <w:tcBorders>
              <w:top w:val="dashSmallGap" w:sz="4" w:space="0" w:color="000000" w:themeColor="text1"/>
              <w:bottom w:val="single" w:sz="2" w:space="0" w:color="000000" w:themeColor="text1"/>
            </w:tcBorders>
          </w:tcPr>
          <w:p w14:paraId="471F7846" w14:textId="59FE0277" w:rsidR="00CB3FC8" w:rsidRPr="006A74E9" w:rsidRDefault="00CB3FC8" w:rsidP="00CD40BA">
            <w:pPr>
              <w:jc w:val="center"/>
              <w:rPr>
                <w:rFonts w:ascii="Arial" w:hAnsi="Arial" w:cs="Arial"/>
              </w:rPr>
            </w:pPr>
            <w:r>
              <w:rPr>
                <w:rFonts w:ascii="Arial" w:hAnsi="Arial" w:cs="Arial"/>
              </w:rPr>
              <w:t>+0,4</w:t>
            </w:r>
            <w:r w:rsidR="007917B0">
              <w:rPr>
                <w:rFonts w:ascii="Arial" w:hAnsi="Arial" w:cs="Arial"/>
              </w:rPr>
              <w:t> %</w:t>
            </w:r>
          </w:p>
        </w:tc>
        <w:tc>
          <w:tcPr>
            <w:tcW w:w="2261" w:type="dxa"/>
            <w:tcBorders>
              <w:top w:val="dashSmallGap" w:sz="4" w:space="0" w:color="000000" w:themeColor="text1"/>
              <w:bottom w:val="single" w:sz="2" w:space="0" w:color="000000" w:themeColor="text1"/>
            </w:tcBorders>
          </w:tcPr>
          <w:p w14:paraId="1D55E588" w14:textId="33C7AA4E" w:rsidR="00CB3FC8" w:rsidRPr="006A74E9" w:rsidRDefault="00CB3FC8" w:rsidP="00CD40BA">
            <w:pPr>
              <w:jc w:val="center"/>
              <w:rPr>
                <w:rFonts w:ascii="Arial" w:hAnsi="Arial" w:cs="Arial"/>
              </w:rPr>
            </w:pPr>
            <w:r>
              <w:rPr>
                <w:rFonts w:ascii="Arial" w:hAnsi="Arial" w:cs="Arial"/>
              </w:rPr>
              <w:t>-9,8</w:t>
            </w:r>
            <w:r w:rsidR="007917B0">
              <w:rPr>
                <w:rFonts w:ascii="Arial" w:hAnsi="Arial" w:cs="Arial"/>
              </w:rPr>
              <w:t> %</w:t>
            </w:r>
          </w:p>
        </w:tc>
      </w:tr>
      <w:tr w:rsidR="00CB3FC8" w:rsidRPr="004E3507" w14:paraId="50E71597" w14:textId="77777777" w:rsidTr="00CD40BA">
        <w:tc>
          <w:tcPr>
            <w:tcW w:w="9042" w:type="dxa"/>
            <w:gridSpan w:val="4"/>
          </w:tcPr>
          <w:p w14:paraId="2DAC9544" w14:textId="77777777" w:rsidR="00CB3FC8" w:rsidRPr="004E3507" w:rsidRDefault="00CB3FC8" w:rsidP="00CD40BA">
            <w:pPr>
              <w:jc w:val="center"/>
              <w:rPr>
                <w:rFonts w:ascii="Arial" w:hAnsi="Arial" w:cs="Arial"/>
              </w:rPr>
            </w:pPr>
          </w:p>
        </w:tc>
      </w:tr>
      <w:tr w:rsidR="00CB3FC8" w:rsidRPr="004E3507" w14:paraId="070BA259" w14:textId="77777777" w:rsidTr="00CD40BA">
        <w:tc>
          <w:tcPr>
            <w:tcW w:w="9042" w:type="dxa"/>
            <w:gridSpan w:val="4"/>
            <w:tcBorders>
              <w:bottom w:val="single" w:sz="2" w:space="0" w:color="000000" w:themeColor="text1"/>
            </w:tcBorders>
          </w:tcPr>
          <w:p w14:paraId="4C342210" w14:textId="1DE38336" w:rsidR="00CB3FC8" w:rsidRPr="006A74E9" w:rsidRDefault="00CB3FC8" w:rsidP="00CD40BA">
            <w:pPr>
              <w:jc w:val="center"/>
              <w:rPr>
                <w:rFonts w:ascii="Arial" w:hAnsi="Arial" w:cs="Arial"/>
                <w:b/>
                <w:bCs/>
                <w:i/>
                <w:iCs/>
              </w:rPr>
            </w:pPr>
            <w:r w:rsidRPr="006A74E9">
              <w:rPr>
                <w:rFonts w:ascii="Arial" w:hAnsi="Arial" w:cs="Arial"/>
                <w:b/>
                <w:bCs/>
                <w:i/>
                <w:iCs/>
              </w:rPr>
              <w:t>Sur s</w:t>
            </w:r>
            <w:r>
              <w:rPr>
                <w:rFonts w:ascii="Arial" w:hAnsi="Arial" w:cs="Arial"/>
                <w:b/>
                <w:bCs/>
                <w:i/>
                <w:iCs/>
              </w:rPr>
              <w:t>ept</w:t>
            </w:r>
            <w:r w:rsidRPr="006A74E9">
              <w:rPr>
                <w:rFonts w:ascii="Arial" w:hAnsi="Arial" w:cs="Arial"/>
                <w:b/>
                <w:bCs/>
                <w:i/>
                <w:iCs/>
              </w:rPr>
              <w:t xml:space="preserve"> mois (</w:t>
            </w:r>
            <w:r>
              <w:rPr>
                <w:rFonts w:ascii="Arial" w:hAnsi="Arial" w:cs="Arial"/>
                <w:b/>
                <w:bCs/>
                <w:i/>
                <w:iCs/>
              </w:rPr>
              <w:t>jan</w:t>
            </w:r>
            <w:r w:rsidRPr="006A74E9">
              <w:rPr>
                <w:rFonts w:ascii="Arial" w:hAnsi="Arial" w:cs="Arial"/>
                <w:b/>
                <w:bCs/>
                <w:i/>
                <w:iCs/>
              </w:rPr>
              <w:t>. 202</w:t>
            </w:r>
            <w:r w:rsidR="007862F3">
              <w:rPr>
                <w:rFonts w:ascii="Arial" w:hAnsi="Arial" w:cs="Arial"/>
                <w:b/>
                <w:bCs/>
                <w:i/>
                <w:iCs/>
              </w:rPr>
              <w:t>4</w:t>
            </w:r>
            <w:r w:rsidRPr="006A74E9">
              <w:rPr>
                <w:rFonts w:ascii="Arial" w:hAnsi="Arial" w:cs="Arial"/>
                <w:b/>
                <w:bCs/>
                <w:i/>
                <w:iCs/>
              </w:rPr>
              <w:t xml:space="preserve"> → </w:t>
            </w:r>
            <w:r>
              <w:rPr>
                <w:rFonts w:ascii="Arial" w:hAnsi="Arial" w:cs="Arial"/>
                <w:b/>
                <w:bCs/>
                <w:i/>
                <w:iCs/>
              </w:rPr>
              <w:t>juil.</w:t>
            </w:r>
            <w:r w:rsidRPr="006A74E9">
              <w:rPr>
                <w:rFonts w:ascii="Arial" w:hAnsi="Arial" w:cs="Arial"/>
                <w:b/>
                <w:bCs/>
                <w:i/>
                <w:iCs/>
              </w:rPr>
              <w:t xml:space="preserve"> 2024 / </w:t>
            </w:r>
            <w:r>
              <w:rPr>
                <w:rFonts w:ascii="Arial" w:hAnsi="Arial" w:cs="Arial"/>
                <w:b/>
                <w:bCs/>
                <w:i/>
                <w:iCs/>
              </w:rPr>
              <w:t>jan</w:t>
            </w:r>
            <w:r w:rsidRPr="006A74E9">
              <w:rPr>
                <w:rFonts w:ascii="Arial" w:hAnsi="Arial" w:cs="Arial"/>
                <w:b/>
                <w:bCs/>
                <w:i/>
                <w:iCs/>
              </w:rPr>
              <w:t>. 202</w:t>
            </w:r>
            <w:r>
              <w:rPr>
                <w:rFonts w:ascii="Arial" w:hAnsi="Arial" w:cs="Arial"/>
                <w:b/>
                <w:bCs/>
                <w:i/>
                <w:iCs/>
              </w:rPr>
              <w:t>3</w:t>
            </w:r>
            <w:r w:rsidRPr="006A74E9">
              <w:rPr>
                <w:rFonts w:ascii="Arial" w:hAnsi="Arial" w:cs="Arial"/>
                <w:b/>
                <w:bCs/>
                <w:i/>
                <w:iCs/>
              </w:rPr>
              <w:t xml:space="preserve"> → </w:t>
            </w:r>
            <w:r>
              <w:rPr>
                <w:rFonts w:ascii="Arial" w:hAnsi="Arial" w:cs="Arial"/>
                <w:b/>
                <w:bCs/>
                <w:i/>
                <w:iCs/>
              </w:rPr>
              <w:t>juil.</w:t>
            </w:r>
            <w:r w:rsidRPr="006A74E9">
              <w:rPr>
                <w:rFonts w:ascii="Arial" w:hAnsi="Arial" w:cs="Arial"/>
                <w:b/>
                <w:bCs/>
                <w:i/>
                <w:iCs/>
              </w:rPr>
              <w:t xml:space="preserve"> 2023)</w:t>
            </w:r>
          </w:p>
        </w:tc>
      </w:tr>
      <w:tr w:rsidR="00CB3FC8" w:rsidRPr="004E3507" w14:paraId="0CC829C3" w14:textId="77777777" w:rsidTr="00CD40BA">
        <w:tc>
          <w:tcPr>
            <w:tcW w:w="2258" w:type="dxa"/>
            <w:tcBorders>
              <w:top w:val="single" w:sz="2" w:space="0" w:color="000000" w:themeColor="text1"/>
              <w:bottom w:val="dashSmallGap" w:sz="4" w:space="0" w:color="000000" w:themeColor="text1"/>
            </w:tcBorders>
          </w:tcPr>
          <w:p w14:paraId="645FDE56" w14:textId="77777777" w:rsidR="00CB3FC8" w:rsidRPr="006A74E9" w:rsidRDefault="00CB3FC8" w:rsidP="00CD40BA">
            <w:pPr>
              <w:jc w:val="center"/>
              <w:rPr>
                <w:rFonts w:ascii="Arial" w:hAnsi="Arial" w:cs="Arial"/>
                <w:b/>
                <w:bCs/>
              </w:rPr>
            </w:pPr>
            <w:r w:rsidRPr="006A74E9">
              <w:rPr>
                <w:rFonts w:ascii="Arial" w:hAnsi="Arial" w:cs="Arial"/>
                <w:b/>
                <w:bCs/>
              </w:rPr>
              <w:t>Autorisations</w:t>
            </w:r>
          </w:p>
        </w:tc>
        <w:tc>
          <w:tcPr>
            <w:tcW w:w="2260" w:type="dxa"/>
            <w:tcBorders>
              <w:top w:val="single" w:sz="2" w:space="0" w:color="000000" w:themeColor="text1"/>
              <w:bottom w:val="dashSmallGap" w:sz="4" w:space="0" w:color="000000" w:themeColor="text1"/>
            </w:tcBorders>
          </w:tcPr>
          <w:p w14:paraId="4CE17750" w14:textId="79CF44E9" w:rsidR="00CB3FC8" w:rsidRPr="006A74E9" w:rsidRDefault="00CB3FC8" w:rsidP="00CD40BA">
            <w:pPr>
              <w:jc w:val="center"/>
              <w:rPr>
                <w:rFonts w:ascii="Arial" w:hAnsi="Arial" w:cs="Arial"/>
                <w:b/>
                <w:bCs/>
              </w:rPr>
            </w:pPr>
            <w:r>
              <w:rPr>
                <w:rFonts w:ascii="Arial" w:hAnsi="Arial" w:cs="Arial"/>
                <w:b/>
                <w:bCs/>
              </w:rPr>
              <w:t>-14,3</w:t>
            </w:r>
            <w:r w:rsidR="007917B0">
              <w:rPr>
                <w:rFonts w:ascii="Arial" w:hAnsi="Arial" w:cs="Arial"/>
                <w:b/>
                <w:bCs/>
              </w:rPr>
              <w:t> %</w:t>
            </w:r>
          </w:p>
        </w:tc>
        <w:tc>
          <w:tcPr>
            <w:tcW w:w="2263" w:type="dxa"/>
            <w:tcBorders>
              <w:top w:val="single" w:sz="2" w:space="0" w:color="000000" w:themeColor="text1"/>
              <w:bottom w:val="dashSmallGap" w:sz="4" w:space="0" w:color="000000" w:themeColor="text1"/>
            </w:tcBorders>
          </w:tcPr>
          <w:p w14:paraId="00AB0B63" w14:textId="7DB0678F" w:rsidR="00CB3FC8" w:rsidRPr="006A74E9" w:rsidRDefault="00CB3FC8" w:rsidP="00CD40BA">
            <w:pPr>
              <w:jc w:val="center"/>
              <w:rPr>
                <w:rFonts w:ascii="Arial" w:hAnsi="Arial" w:cs="Arial"/>
                <w:b/>
                <w:bCs/>
              </w:rPr>
            </w:pPr>
            <w:r>
              <w:rPr>
                <w:rFonts w:ascii="Arial" w:hAnsi="Arial" w:cs="Arial"/>
                <w:b/>
                <w:bCs/>
              </w:rPr>
              <w:t>-7,1</w:t>
            </w:r>
            <w:r w:rsidR="007917B0">
              <w:rPr>
                <w:rFonts w:ascii="Arial" w:hAnsi="Arial" w:cs="Arial"/>
                <w:b/>
                <w:bCs/>
              </w:rPr>
              <w:t> %</w:t>
            </w:r>
          </w:p>
        </w:tc>
        <w:tc>
          <w:tcPr>
            <w:tcW w:w="2261" w:type="dxa"/>
            <w:tcBorders>
              <w:top w:val="single" w:sz="2" w:space="0" w:color="000000" w:themeColor="text1"/>
              <w:bottom w:val="dashSmallGap" w:sz="4" w:space="0" w:color="000000" w:themeColor="text1"/>
            </w:tcBorders>
          </w:tcPr>
          <w:p w14:paraId="3CE087D7" w14:textId="572122BD" w:rsidR="00CB3FC8" w:rsidRPr="006A74E9" w:rsidRDefault="00CB3FC8" w:rsidP="00CD40BA">
            <w:pPr>
              <w:jc w:val="center"/>
              <w:rPr>
                <w:rFonts w:ascii="Arial" w:hAnsi="Arial" w:cs="Arial"/>
                <w:b/>
                <w:bCs/>
              </w:rPr>
            </w:pPr>
            <w:r>
              <w:rPr>
                <w:rFonts w:ascii="Arial" w:hAnsi="Arial" w:cs="Arial"/>
                <w:b/>
                <w:bCs/>
              </w:rPr>
              <w:t>-9,9</w:t>
            </w:r>
            <w:r w:rsidR="007917B0">
              <w:rPr>
                <w:rFonts w:ascii="Arial" w:hAnsi="Arial" w:cs="Arial"/>
                <w:b/>
                <w:bCs/>
              </w:rPr>
              <w:t> %</w:t>
            </w:r>
          </w:p>
        </w:tc>
      </w:tr>
      <w:tr w:rsidR="00CB3FC8" w:rsidRPr="004E3507" w14:paraId="07124B65" w14:textId="77777777" w:rsidTr="00CD40BA">
        <w:tc>
          <w:tcPr>
            <w:tcW w:w="2258" w:type="dxa"/>
            <w:tcBorders>
              <w:top w:val="dashSmallGap" w:sz="4" w:space="0" w:color="000000" w:themeColor="text1"/>
            </w:tcBorders>
          </w:tcPr>
          <w:p w14:paraId="75F6D6EF" w14:textId="77777777" w:rsidR="00CB3FC8" w:rsidRPr="006A74E9" w:rsidRDefault="00CB3FC8" w:rsidP="00CD40BA">
            <w:pPr>
              <w:jc w:val="center"/>
              <w:rPr>
                <w:rFonts w:ascii="Arial" w:hAnsi="Arial" w:cs="Arial"/>
                <w:b/>
                <w:bCs/>
              </w:rPr>
            </w:pPr>
            <w:r w:rsidRPr="006A74E9">
              <w:rPr>
                <w:rFonts w:ascii="Arial" w:hAnsi="Arial" w:cs="Arial"/>
                <w:b/>
                <w:bCs/>
              </w:rPr>
              <w:t>Mises en chantier</w:t>
            </w:r>
          </w:p>
        </w:tc>
        <w:tc>
          <w:tcPr>
            <w:tcW w:w="2260" w:type="dxa"/>
            <w:tcBorders>
              <w:top w:val="dashSmallGap" w:sz="4" w:space="0" w:color="000000" w:themeColor="text1"/>
            </w:tcBorders>
          </w:tcPr>
          <w:p w14:paraId="19A07867" w14:textId="556C8F22" w:rsidR="00CB3FC8" w:rsidRPr="006A74E9" w:rsidRDefault="00CB3FC8" w:rsidP="00CD40BA">
            <w:pPr>
              <w:jc w:val="center"/>
              <w:rPr>
                <w:rFonts w:ascii="Arial" w:hAnsi="Arial" w:cs="Arial"/>
                <w:b/>
                <w:bCs/>
              </w:rPr>
            </w:pPr>
            <w:r>
              <w:rPr>
                <w:rFonts w:ascii="Arial" w:hAnsi="Arial" w:cs="Arial"/>
                <w:b/>
                <w:bCs/>
              </w:rPr>
              <w:t>-22,5</w:t>
            </w:r>
            <w:r w:rsidR="007917B0">
              <w:rPr>
                <w:rFonts w:ascii="Arial" w:hAnsi="Arial" w:cs="Arial"/>
                <w:b/>
                <w:bCs/>
              </w:rPr>
              <w:t> %</w:t>
            </w:r>
          </w:p>
        </w:tc>
        <w:tc>
          <w:tcPr>
            <w:tcW w:w="2263" w:type="dxa"/>
            <w:tcBorders>
              <w:top w:val="dashSmallGap" w:sz="4" w:space="0" w:color="000000" w:themeColor="text1"/>
            </w:tcBorders>
          </w:tcPr>
          <w:p w14:paraId="3C37B859" w14:textId="04850CC5" w:rsidR="00CB3FC8" w:rsidRPr="006A74E9" w:rsidRDefault="00CB3FC8" w:rsidP="00CD40BA">
            <w:pPr>
              <w:jc w:val="center"/>
              <w:rPr>
                <w:rFonts w:ascii="Arial" w:hAnsi="Arial" w:cs="Arial"/>
                <w:b/>
                <w:bCs/>
              </w:rPr>
            </w:pPr>
            <w:r>
              <w:rPr>
                <w:rFonts w:ascii="Arial" w:hAnsi="Arial" w:cs="Arial"/>
                <w:b/>
                <w:bCs/>
              </w:rPr>
              <w:t>-5,5</w:t>
            </w:r>
            <w:r w:rsidR="007917B0">
              <w:rPr>
                <w:rFonts w:ascii="Arial" w:hAnsi="Arial" w:cs="Arial"/>
                <w:b/>
                <w:bCs/>
              </w:rPr>
              <w:t> %</w:t>
            </w:r>
          </w:p>
        </w:tc>
        <w:tc>
          <w:tcPr>
            <w:tcW w:w="2261" w:type="dxa"/>
            <w:tcBorders>
              <w:top w:val="dashSmallGap" w:sz="4" w:space="0" w:color="000000" w:themeColor="text1"/>
            </w:tcBorders>
          </w:tcPr>
          <w:p w14:paraId="40A7F943" w14:textId="75E3330C" w:rsidR="00CB3FC8" w:rsidRPr="006A74E9" w:rsidRDefault="00CB3FC8" w:rsidP="00CD40BA">
            <w:pPr>
              <w:jc w:val="center"/>
              <w:rPr>
                <w:rFonts w:ascii="Arial" w:hAnsi="Arial" w:cs="Arial"/>
                <w:b/>
                <w:bCs/>
              </w:rPr>
            </w:pPr>
            <w:r>
              <w:rPr>
                <w:rFonts w:ascii="Arial" w:hAnsi="Arial" w:cs="Arial"/>
                <w:b/>
                <w:bCs/>
              </w:rPr>
              <w:t>-13,4</w:t>
            </w:r>
            <w:r w:rsidR="007917B0">
              <w:rPr>
                <w:rFonts w:ascii="Arial" w:hAnsi="Arial" w:cs="Arial"/>
                <w:b/>
                <w:bCs/>
              </w:rPr>
              <w:t> %</w:t>
            </w:r>
          </w:p>
        </w:tc>
      </w:tr>
      <w:tr w:rsidR="00CB3FC8" w:rsidRPr="004E3507" w14:paraId="1BC96C1D" w14:textId="77777777" w:rsidTr="00CD40BA">
        <w:tc>
          <w:tcPr>
            <w:tcW w:w="9042" w:type="dxa"/>
            <w:gridSpan w:val="4"/>
          </w:tcPr>
          <w:p w14:paraId="63E3232D" w14:textId="77777777" w:rsidR="00CB3FC8" w:rsidRPr="004E3507" w:rsidRDefault="00CB3FC8" w:rsidP="00CD40BA">
            <w:pPr>
              <w:jc w:val="center"/>
              <w:rPr>
                <w:rFonts w:ascii="Arial" w:hAnsi="Arial" w:cs="Arial"/>
              </w:rPr>
            </w:pPr>
          </w:p>
        </w:tc>
      </w:tr>
      <w:tr w:rsidR="00CB3FC8" w:rsidRPr="007024B9" w14:paraId="1155D35C" w14:textId="77777777" w:rsidTr="00CD40BA">
        <w:tc>
          <w:tcPr>
            <w:tcW w:w="9042" w:type="dxa"/>
            <w:gridSpan w:val="4"/>
            <w:tcBorders>
              <w:bottom w:val="single" w:sz="2" w:space="0" w:color="000000" w:themeColor="text1"/>
            </w:tcBorders>
          </w:tcPr>
          <w:p w14:paraId="19454431" w14:textId="77777777" w:rsidR="00CB3FC8" w:rsidRPr="00BF5BE0" w:rsidRDefault="00CB3FC8" w:rsidP="00CD40BA">
            <w:pPr>
              <w:jc w:val="center"/>
              <w:rPr>
                <w:rFonts w:ascii="Arial" w:hAnsi="Arial" w:cs="Arial"/>
                <w:i/>
                <w:iCs/>
              </w:rPr>
            </w:pPr>
            <w:r w:rsidRPr="00BF5BE0">
              <w:rPr>
                <w:rFonts w:ascii="Arial" w:hAnsi="Arial" w:cs="Arial"/>
                <w:i/>
                <w:iCs/>
              </w:rPr>
              <w:t>Sur neuf mois (</w:t>
            </w:r>
            <w:r>
              <w:rPr>
                <w:rFonts w:ascii="Arial" w:hAnsi="Arial" w:cs="Arial"/>
                <w:i/>
                <w:iCs/>
              </w:rPr>
              <w:t>nov.</w:t>
            </w:r>
            <w:r w:rsidRPr="00BF5BE0">
              <w:rPr>
                <w:rFonts w:ascii="Arial" w:hAnsi="Arial" w:cs="Arial"/>
                <w:i/>
                <w:iCs/>
              </w:rPr>
              <w:t xml:space="preserve"> 2023 → </w:t>
            </w:r>
            <w:r>
              <w:rPr>
                <w:rFonts w:ascii="Arial" w:hAnsi="Arial" w:cs="Arial"/>
                <w:i/>
                <w:iCs/>
              </w:rPr>
              <w:t>juil.</w:t>
            </w:r>
            <w:r w:rsidRPr="00BF5BE0">
              <w:rPr>
                <w:rFonts w:ascii="Arial" w:hAnsi="Arial" w:cs="Arial"/>
                <w:i/>
                <w:iCs/>
              </w:rPr>
              <w:t xml:space="preserve"> 202</w:t>
            </w:r>
            <w:r>
              <w:rPr>
                <w:rFonts w:ascii="Arial" w:hAnsi="Arial" w:cs="Arial"/>
                <w:i/>
                <w:iCs/>
              </w:rPr>
              <w:t>4</w:t>
            </w:r>
            <w:r w:rsidRPr="00BF5BE0">
              <w:rPr>
                <w:rFonts w:ascii="Arial" w:hAnsi="Arial" w:cs="Arial"/>
                <w:i/>
                <w:iCs/>
              </w:rPr>
              <w:t xml:space="preserve"> / </w:t>
            </w:r>
            <w:r>
              <w:rPr>
                <w:rFonts w:ascii="Arial" w:hAnsi="Arial" w:cs="Arial"/>
                <w:i/>
                <w:iCs/>
              </w:rPr>
              <w:t>nov.</w:t>
            </w:r>
            <w:r w:rsidRPr="00BF5BE0">
              <w:rPr>
                <w:rFonts w:ascii="Arial" w:hAnsi="Arial" w:cs="Arial"/>
                <w:i/>
                <w:iCs/>
              </w:rPr>
              <w:t xml:space="preserve"> 202</w:t>
            </w:r>
            <w:r>
              <w:rPr>
                <w:rFonts w:ascii="Arial" w:hAnsi="Arial" w:cs="Arial"/>
                <w:i/>
                <w:iCs/>
              </w:rPr>
              <w:t>2</w:t>
            </w:r>
            <w:r w:rsidRPr="00BF5BE0">
              <w:rPr>
                <w:rFonts w:ascii="Arial" w:hAnsi="Arial" w:cs="Arial"/>
                <w:i/>
                <w:iCs/>
              </w:rPr>
              <w:t xml:space="preserve"> → </w:t>
            </w:r>
            <w:r>
              <w:rPr>
                <w:rFonts w:ascii="Arial" w:hAnsi="Arial" w:cs="Arial"/>
                <w:i/>
                <w:iCs/>
              </w:rPr>
              <w:t>juil. 2023</w:t>
            </w:r>
            <w:r w:rsidRPr="00BF5BE0">
              <w:rPr>
                <w:rFonts w:ascii="Arial" w:hAnsi="Arial" w:cs="Arial"/>
                <w:i/>
                <w:iCs/>
              </w:rPr>
              <w:t>)</w:t>
            </w:r>
          </w:p>
        </w:tc>
      </w:tr>
      <w:tr w:rsidR="00CB3FC8" w:rsidRPr="004E3507" w14:paraId="368638AA" w14:textId="77777777" w:rsidTr="00CD40BA">
        <w:tc>
          <w:tcPr>
            <w:tcW w:w="2258" w:type="dxa"/>
            <w:tcBorders>
              <w:top w:val="single" w:sz="2" w:space="0" w:color="000000" w:themeColor="text1"/>
              <w:bottom w:val="dashSmallGap" w:sz="4" w:space="0" w:color="000000" w:themeColor="text1"/>
            </w:tcBorders>
          </w:tcPr>
          <w:p w14:paraId="249A35CF" w14:textId="77777777" w:rsidR="00CB3FC8" w:rsidRPr="00BF5BE0" w:rsidRDefault="00CB3FC8" w:rsidP="00CD40BA">
            <w:pPr>
              <w:jc w:val="center"/>
              <w:rPr>
                <w:rFonts w:ascii="Arial" w:hAnsi="Arial" w:cs="Arial"/>
              </w:rPr>
            </w:pPr>
            <w:r w:rsidRPr="00BF5BE0">
              <w:rPr>
                <w:rFonts w:ascii="Arial" w:hAnsi="Arial" w:cs="Arial"/>
              </w:rPr>
              <w:t>Autorisations</w:t>
            </w:r>
          </w:p>
        </w:tc>
        <w:tc>
          <w:tcPr>
            <w:tcW w:w="2260" w:type="dxa"/>
            <w:tcBorders>
              <w:top w:val="single" w:sz="2" w:space="0" w:color="000000" w:themeColor="text1"/>
              <w:bottom w:val="dashSmallGap" w:sz="4" w:space="0" w:color="000000" w:themeColor="text1"/>
            </w:tcBorders>
          </w:tcPr>
          <w:p w14:paraId="4B0F0151" w14:textId="7A4A9344" w:rsidR="00CB3FC8" w:rsidRPr="00BF5BE0" w:rsidRDefault="00CB3FC8" w:rsidP="00CD40BA">
            <w:pPr>
              <w:jc w:val="center"/>
              <w:rPr>
                <w:rFonts w:ascii="Arial" w:hAnsi="Arial" w:cs="Arial"/>
              </w:rPr>
            </w:pPr>
            <w:r>
              <w:rPr>
                <w:rFonts w:ascii="Arial" w:hAnsi="Arial" w:cs="Arial"/>
              </w:rPr>
              <w:t>-14,7</w:t>
            </w:r>
            <w:r w:rsidR="007917B0">
              <w:rPr>
                <w:rFonts w:ascii="Arial" w:hAnsi="Arial" w:cs="Arial"/>
              </w:rPr>
              <w:t> %</w:t>
            </w:r>
          </w:p>
        </w:tc>
        <w:tc>
          <w:tcPr>
            <w:tcW w:w="2263" w:type="dxa"/>
            <w:tcBorders>
              <w:top w:val="single" w:sz="2" w:space="0" w:color="000000" w:themeColor="text1"/>
              <w:bottom w:val="dashSmallGap" w:sz="4" w:space="0" w:color="000000" w:themeColor="text1"/>
            </w:tcBorders>
          </w:tcPr>
          <w:p w14:paraId="19B26655" w14:textId="1FF0BDB9" w:rsidR="00CB3FC8" w:rsidRPr="00BF5BE0" w:rsidRDefault="00CB3FC8" w:rsidP="00CD40BA">
            <w:pPr>
              <w:jc w:val="center"/>
              <w:rPr>
                <w:rFonts w:ascii="Arial" w:hAnsi="Arial" w:cs="Arial"/>
              </w:rPr>
            </w:pPr>
            <w:r>
              <w:rPr>
                <w:rFonts w:ascii="Arial" w:hAnsi="Arial" w:cs="Arial"/>
              </w:rPr>
              <w:t>-4,0</w:t>
            </w:r>
            <w:r w:rsidR="007917B0">
              <w:rPr>
                <w:rFonts w:ascii="Arial" w:hAnsi="Arial" w:cs="Arial"/>
              </w:rPr>
              <w:t> %</w:t>
            </w:r>
          </w:p>
        </w:tc>
        <w:tc>
          <w:tcPr>
            <w:tcW w:w="2261" w:type="dxa"/>
            <w:tcBorders>
              <w:top w:val="single" w:sz="2" w:space="0" w:color="000000" w:themeColor="text1"/>
              <w:bottom w:val="dashSmallGap" w:sz="4" w:space="0" w:color="000000" w:themeColor="text1"/>
            </w:tcBorders>
          </w:tcPr>
          <w:p w14:paraId="6C0C7F8D" w14:textId="4DCA30F5" w:rsidR="00CB3FC8" w:rsidRPr="00BF5BE0" w:rsidRDefault="00CB3FC8" w:rsidP="00CD40BA">
            <w:pPr>
              <w:jc w:val="center"/>
              <w:rPr>
                <w:rFonts w:ascii="Arial" w:hAnsi="Arial" w:cs="Arial"/>
              </w:rPr>
            </w:pPr>
            <w:r>
              <w:rPr>
                <w:rFonts w:ascii="Arial" w:hAnsi="Arial" w:cs="Arial"/>
              </w:rPr>
              <w:t>-8,2</w:t>
            </w:r>
            <w:r w:rsidR="007917B0">
              <w:rPr>
                <w:rFonts w:ascii="Arial" w:hAnsi="Arial" w:cs="Arial"/>
              </w:rPr>
              <w:t> %</w:t>
            </w:r>
          </w:p>
        </w:tc>
      </w:tr>
      <w:tr w:rsidR="00CB3FC8" w:rsidRPr="004E3507" w14:paraId="478A0057" w14:textId="77777777" w:rsidTr="00CD40BA">
        <w:tc>
          <w:tcPr>
            <w:tcW w:w="2258" w:type="dxa"/>
            <w:tcBorders>
              <w:top w:val="dashSmallGap" w:sz="4" w:space="0" w:color="000000" w:themeColor="text1"/>
              <w:bottom w:val="single" w:sz="2" w:space="0" w:color="000000" w:themeColor="text1"/>
            </w:tcBorders>
          </w:tcPr>
          <w:p w14:paraId="56388FB9" w14:textId="77777777" w:rsidR="00CB3FC8" w:rsidRPr="00BF5BE0" w:rsidRDefault="00CB3FC8" w:rsidP="00CD40BA">
            <w:pPr>
              <w:jc w:val="center"/>
              <w:rPr>
                <w:rFonts w:ascii="Arial" w:hAnsi="Arial" w:cs="Arial"/>
              </w:rPr>
            </w:pPr>
            <w:r w:rsidRPr="00BF5BE0">
              <w:rPr>
                <w:rFonts w:ascii="Arial" w:hAnsi="Arial" w:cs="Arial"/>
              </w:rPr>
              <w:t>Mises en chantier</w:t>
            </w:r>
          </w:p>
        </w:tc>
        <w:tc>
          <w:tcPr>
            <w:tcW w:w="2260" w:type="dxa"/>
            <w:tcBorders>
              <w:top w:val="dashSmallGap" w:sz="4" w:space="0" w:color="000000" w:themeColor="text1"/>
              <w:bottom w:val="single" w:sz="2" w:space="0" w:color="000000" w:themeColor="text1"/>
            </w:tcBorders>
          </w:tcPr>
          <w:p w14:paraId="52EE8E5D" w14:textId="029B5AAD" w:rsidR="00CB3FC8" w:rsidRPr="00BF5BE0" w:rsidRDefault="00CB3FC8" w:rsidP="00CD40BA">
            <w:pPr>
              <w:jc w:val="center"/>
              <w:rPr>
                <w:rFonts w:ascii="Arial" w:hAnsi="Arial" w:cs="Arial"/>
              </w:rPr>
            </w:pPr>
            <w:r>
              <w:rPr>
                <w:rFonts w:ascii="Arial" w:hAnsi="Arial" w:cs="Arial"/>
              </w:rPr>
              <w:t>-24,1</w:t>
            </w:r>
            <w:r w:rsidR="007917B0">
              <w:rPr>
                <w:rFonts w:ascii="Arial" w:hAnsi="Arial" w:cs="Arial"/>
              </w:rPr>
              <w:t> %</w:t>
            </w:r>
          </w:p>
        </w:tc>
        <w:tc>
          <w:tcPr>
            <w:tcW w:w="2263" w:type="dxa"/>
            <w:tcBorders>
              <w:top w:val="dashSmallGap" w:sz="4" w:space="0" w:color="000000" w:themeColor="text1"/>
              <w:bottom w:val="single" w:sz="2" w:space="0" w:color="000000" w:themeColor="text1"/>
            </w:tcBorders>
          </w:tcPr>
          <w:p w14:paraId="24D85DAE" w14:textId="1833017C" w:rsidR="00CB3FC8" w:rsidRPr="00BF5BE0" w:rsidRDefault="00CB3FC8" w:rsidP="00CD40BA">
            <w:pPr>
              <w:jc w:val="center"/>
              <w:rPr>
                <w:rFonts w:ascii="Arial" w:hAnsi="Arial" w:cs="Arial"/>
              </w:rPr>
            </w:pPr>
            <w:r>
              <w:rPr>
                <w:rFonts w:ascii="Arial" w:hAnsi="Arial" w:cs="Arial"/>
              </w:rPr>
              <w:t>-12,7</w:t>
            </w:r>
            <w:r w:rsidR="007917B0">
              <w:rPr>
                <w:rFonts w:ascii="Arial" w:hAnsi="Arial" w:cs="Arial"/>
              </w:rPr>
              <w:t> %</w:t>
            </w:r>
          </w:p>
        </w:tc>
        <w:tc>
          <w:tcPr>
            <w:tcW w:w="2261" w:type="dxa"/>
            <w:tcBorders>
              <w:top w:val="dashSmallGap" w:sz="4" w:space="0" w:color="000000" w:themeColor="text1"/>
              <w:bottom w:val="single" w:sz="2" w:space="0" w:color="000000" w:themeColor="text1"/>
            </w:tcBorders>
          </w:tcPr>
          <w:p w14:paraId="1B8E9229" w14:textId="00EE37BE" w:rsidR="00CB3FC8" w:rsidRPr="00BF5BE0" w:rsidRDefault="00CB3FC8" w:rsidP="00CD40BA">
            <w:pPr>
              <w:jc w:val="center"/>
              <w:rPr>
                <w:rFonts w:ascii="Arial" w:hAnsi="Arial" w:cs="Arial"/>
              </w:rPr>
            </w:pPr>
            <w:r>
              <w:rPr>
                <w:rFonts w:ascii="Arial" w:hAnsi="Arial" w:cs="Arial"/>
              </w:rPr>
              <w:t>-17,5</w:t>
            </w:r>
            <w:r w:rsidR="007917B0">
              <w:rPr>
                <w:rFonts w:ascii="Arial" w:hAnsi="Arial" w:cs="Arial"/>
              </w:rPr>
              <w:t> %</w:t>
            </w:r>
          </w:p>
        </w:tc>
      </w:tr>
      <w:tr w:rsidR="00CB3FC8" w:rsidRPr="004E3507" w14:paraId="5B1DE0BA" w14:textId="77777777" w:rsidTr="00CD40BA">
        <w:tc>
          <w:tcPr>
            <w:tcW w:w="9042" w:type="dxa"/>
            <w:gridSpan w:val="4"/>
            <w:tcBorders>
              <w:top w:val="single" w:sz="2" w:space="0" w:color="000000" w:themeColor="text1"/>
            </w:tcBorders>
          </w:tcPr>
          <w:p w14:paraId="143BF475" w14:textId="77777777" w:rsidR="00CB3FC8" w:rsidRPr="00704446" w:rsidRDefault="00CB3FC8" w:rsidP="00CD40BA">
            <w:pPr>
              <w:jc w:val="center"/>
              <w:rPr>
                <w:rFonts w:ascii="Arial" w:hAnsi="Arial" w:cs="Arial"/>
              </w:rPr>
            </w:pPr>
          </w:p>
        </w:tc>
      </w:tr>
      <w:tr w:rsidR="00CB3FC8" w:rsidRPr="004E3507" w14:paraId="40AADADB" w14:textId="77777777" w:rsidTr="00CD40BA">
        <w:tc>
          <w:tcPr>
            <w:tcW w:w="9042" w:type="dxa"/>
            <w:gridSpan w:val="4"/>
            <w:tcBorders>
              <w:bottom w:val="single" w:sz="2" w:space="0" w:color="000000" w:themeColor="text1"/>
            </w:tcBorders>
          </w:tcPr>
          <w:p w14:paraId="24433090" w14:textId="77777777" w:rsidR="00CB3FC8" w:rsidRPr="00525217" w:rsidRDefault="00CB3FC8" w:rsidP="00CD40BA">
            <w:pPr>
              <w:jc w:val="center"/>
              <w:rPr>
                <w:rFonts w:ascii="Arial" w:hAnsi="Arial" w:cs="Arial"/>
                <w:i/>
                <w:iCs/>
              </w:rPr>
            </w:pPr>
            <w:r w:rsidRPr="00525217">
              <w:rPr>
                <w:rFonts w:ascii="Arial" w:hAnsi="Arial" w:cs="Arial"/>
                <w:i/>
                <w:iCs/>
              </w:rPr>
              <w:t>Sur un an (</w:t>
            </w:r>
            <w:r>
              <w:rPr>
                <w:rFonts w:ascii="Arial" w:hAnsi="Arial" w:cs="Arial"/>
                <w:i/>
                <w:iCs/>
              </w:rPr>
              <w:t xml:space="preserve">août </w:t>
            </w:r>
            <w:r w:rsidRPr="00525217">
              <w:rPr>
                <w:rFonts w:ascii="Arial" w:hAnsi="Arial" w:cs="Arial"/>
                <w:i/>
                <w:iCs/>
              </w:rPr>
              <w:t xml:space="preserve">2023 → </w:t>
            </w:r>
            <w:r>
              <w:rPr>
                <w:rFonts w:ascii="Arial" w:hAnsi="Arial" w:cs="Arial"/>
                <w:i/>
                <w:iCs/>
              </w:rPr>
              <w:t>juil.</w:t>
            </w:r>
            <w:r w:rsidRPr="00525217">
              <w:rPr>
                <w:rFonts w:ascii="Arial" w:hAnsi="Arial" w:cs="Arial"/>
                <w:i/>
                <w:iCs/>
              </w:rPr>
              <w:t xml:space="preserve"> 202</w:t>
            </w:r>
            <w:r>
              <w:rPr>
                <w:rFonts w:ascii="Arial" w:hAnsi="Arial" w:cs="Arial"/>
                <w:i/>
                <w:iCs/>
              </w:rPr>
              <w:t>4</w:t>
            </w:r>
            <w:r w:rsidRPr="00525217">
              <w:rPr>
                <w:rFonts w:ascii="Arial" w:hAnsi="Arial" w:cs="Arial"/>
                <w:i/>
                <w:iCs/>
              </w:rPr>
              <w:t xml:space="preserve"> / </w:t>
            </w:r>
            <w:r>
              <w:rPr>
                <w:rFonts w:ascii="Arial" w:hAnsi="Arial" w:cs="Arial"/>
                <w:i/>
                <w:iCs/>
              </w:rPr>
              <w:t>août</w:t>
            </w:r>
            <w:r w:rsidRPr="00525217">
              <w:rPr>
                <w:rFonts w:ascii="Arial" w:hAnsi="Arial" w:cs="Arial"/>
                <w:i/>
                <w:iCs/>
              </w:rPr>
              <w:t xml:space="preserve"> 2022 → </w:t>
            </w:r>
            <w:r>
              <w:rPr>
                <w:rFonts w:ascii="Arial" w:hAnsi="Arial" w:cs="Arial"/>
                <w:i/>
                <w:iCs/>
              </w:rPr>
              <w:t>juil.</w:t>
            </w:r>
            <w:r w:rsidRPr="00525217">
              <w:rPr>
                <w:rFonts w:ascii="Arial" w:hAnsi="Arial" w:cs="Arial"/>
                <w:i/>
                <w:iCs/>
              </w:rPr>
              <w:t xml:space="preserve"> 202</w:t>
            </w:r>
            <w:r>
              <w:rPr>
                <w:rFonts w:ascii="Arial" w:hAnsi="Arial" w:cs="Arial"/>
                <w:i/>
                <w:iCs/>
              </w:rPr>
              <w:t>3</w:t>
            </w:r>
            <w:r w:rsidRPr="00525217">
              <w:rPr>
                <w:rFonts w:ascii="Arial" w:hAnsi="Arial" w:cs="Arial"/>
                <w:i/>
                <w:iCs/>
              </w:rPr>
              <w:t>)</w:t>
            </w:r>
          </w:p>
        </w:tc>
      </w:tr>
      <w:tr w:rsidR="00CB3FC8" w:rsidRPr="004E3507" w14:paraId="18E52D1F" w14:textId="77777777" w:rsidTr="00CD40BA">
        <w:tc>
          <w:tcPr>
            <w:tcW w:w="2258" w:type="dxa"/>
            <w:tcBorders>
              <w:top w:val="single" w:sz="2" w:space="0" w:color="000000" w:themeColor="text1"/>
              <w:bottom w:val="dashSmallGap" w:sz="4" w:space="0" w:color="000000" w:themeColor="text1"/>
            </w:tcBorders>
          </w:tcPr>
          <w:p w14:paraId="759AD587" w14:textId="77777777" w:rsidR="00CB3FC8" w:rsidRPr="00525217" w:rsidRDefault="00CB3FC8" w:rsidP="00CD40BA">
            <w:pPr>
              <w:jc w:val="center"/>
              <w:rPr>
                <w:rFonts w:ascii="Arial" w:hAnsi="Arial" w:cs="Arial"/>
              </w:rPr>
            </w:pPr>
            <w:r w:rsidRPr="00525217">
              <w:rPr>
                <w:rFonts w:ascii="Arial" w:hAnsi="Arial" w:cs="Arial"/>
              </w:rPr>
              <w:t>Autorisations</w:t>
            </w:r>
          </w:p>
        </w:tc>
        <w:tc>
          <w:tcPr>
            <w:tcW w:w="2260" w:type="dxa"/>
            <w:tcBorders>
              <w:top w:val="single" w:sz="2" w:space="0" w:color="000000" w:themeColor="text1"/>
              <w:bottom w:val="dashSmallGap" w:sz="4" w:space="0" w:color="000000" w:themeColor="text1"/>
            </w:tcBorders>
          </w:tcPr>
          <w:p w14:paraId="4FFE914E" w14:textId="3A0D167B" w:rsidR="00CB3FC8" w:rsidRPr="00525217" w:rsidRDefault="00CB3FC8" w:rsidP="00CD40BA">
            <w:pPr>
              <w:jc w:val="center"/>
              <w:rPr>
                <w:rFonts w:ascii="Arial" w:hAnsi="Arial" w:cs="Arial"/>
              </w:rPr>
            </w:pPr>
            <w:r>
              <w:rPr>
                <w:rFonts w:ascii="Arial" w:hAnsi="Arial" w:cs="Arial"/>
              </w:rPr>
              <w:t>-16,2</w:t>
            </w:r>
            <w:r w:rsidR="007917B0">
              <w:rPr>
                <w:rFonts w:ascii="Arial" w:hAnsi="Arial" w:cs="Arial"/>
              </w:rPr>
              <w:t> %</w:t>
            </w:r>
          </w:p>
        </w:tc>
        <w:tc>
          <w:tcPr>
            <w:tcW w:w="2263" w:type="dxa"/>
            <w:tcBorders>
              <w:top w:val="single" w:sz="2" w:space="0" w:color="000000" w:themeColor="text1"/>
              <w:bottom w:val="dashSmallGap" w:sz="4" w:space="0" w:color="000000" w:themeColor="text1"/>
            </w:tcBorders>
          </w:tcPr>
          <w:p w14:paraId="74194183" w14:textId="4244EDC2" w:rsidR="00CB3FC8" w:rsidRPr="00525217" w:rsidRDefault="00CB3FC8" w:rsidP="00CD40BA">
            <w:pPr>
              <w:jc w:val="center"/>
              <w:rPr>
                <w:rFonts w:ascii="Arial" w:hAnsi="Arial" w:cs="Arial"/>
              </w:rPr>
            </w:pPr>
            <w:r>
              <w:rPr>
                <w:rFonts w:ascii="Arial" w:hAnsi="Arial" w:cs="Arial"/>
              </w:rPr>
              <w:t>-9,5</w:t>
            </w:r>
            <w:r w:rsidR="007917B0">
              <w:rPr>
                <w:rFonts w:ascii="Arial" w:hAnsi="Arial" w:cs="Arial"/>
              </w:rPr>
              <w:t> %</w:t>
            </w:r>
          </w:p>
        </w:tc>
        <w:tc>
          <w:tcPr>
            <w:tcW w:w="2261" w:type="dxa"/>
            <w:tcBorders>
              <w:top w:val="single" w:sz="2" w:space="0" w:color="000000" w:themeColor="text1"/>
              <w:bottom w:val="dashSmallGap" w:sz="4" w:space="0" w:color="000000" w:themeColor="text1"/>
            </w:tcBorders>
          </w:tcPr>
          <w:p w14:paraId="07F3392D" w14:textId="6DA1468E" w:rsidR="00CB3FC8" w:rsidRPr="00525217" w:rsidRDefault="00CB3FC8" w:rsidP="00CD40BA">
            <w:pPr>
              <w:jc w:val="center"/>
              <w:rPr>
                <w:rFonts w:ascii="Arial" w:hAnsi="Arial" w:cs="Arial"/>
              </w:rPr>
            </w:pPr>
            <w:r>
              <w:rPr>
                <w:rFonts w:ascii="Arial" w:hAnsi="Arial" w:cs="Arial"/>
              </w:rPr>
              <w:t>-12,1</w:t>
            </w:r>
            <w:r w:rsidR="007917B0">
              <w:rPr>
                <w:rFonts w:ascii="Arial" w:hAnsi="Arial" w:cs="Arial"/>
              </w:rPr>
              <w:t> %</w:t>
            </w:r>
          </w:p>
        </w:tc>
      </w:tr>
      <w:tr w:rsidR="00CB3FC8" w:rsidRPr="004E3507" w14:paraId="69FBCE7C" w14:textId="77777777" w:rsidTr="00CD40BA">
        <w:tc>
          <w:tcPr>
            <w:tcW w:w="2258" w:type="dxa"/>
            <w:tcBorders>
              <w:top w:val="dashSmallGap" w:sz="4" w:space="0" w:color="000000" w:themeColor="text1"/>
              <w:bottom w:val="single" w:sz="12" w:space="0" w:color="000000" w:themeColor="text1"/>
            </w:tcBorders>
          </w:tcPr>
          <w:p w14:paraId="2B00B376" w14:textId="77777777" w:rsidR="00CB3FC8" w:rsidRPr="00525217" w:rsidRDefault="00CB3FC8" w:rsidP="00CD40BA">
            <w:pPr>
              <w:jc w:val="center"/>
              <w:rPr>
                <w:rFonts w:ascii="Arial" w:hAnsi="Arial" w:cs="Arial"/>
              </w:rPr>
            </w:pPr>
            <w:r w:rsidRPr="00525217">
              <w:rPr>
                <w:rFonts w:ascii="Arial" w:hAnsi="Arial" w:cs="Arial"/>
              </w:rPr>
              <w:t>Mises en chantier</w:t>
            </w:r>
          </w:p>
        </w:tc>
        <w:tc>
          <w:tcPr>
            <w:tcW w:w="2260" w:type="dxa"/>
            <w:tcBorders>
              <w:top w:val="dashSmallGap" w:sz="4" w:space="0" w:color="000000" w:themeColor="text1"/>
              <w:bottom w:val="single" w:sz="12" w:space="0" w:color="000000" w:themeColor="text1"/>
            </w:tcBorders>
          </w:tcPr>
          <w:p w14:paraId="54F18E5B" w14:textId="6B2EFB6F" w:rsidR="00CB3FC8" w:rsidRPr="00525217" w:rsidRDefault="00CB3FC8" w:rsidP="00CD40BA">
            <w:pPr>
              <w:jc w:val="center"/>
              <w:rPr>
                <w:rFonts w:ascii="Arial" w:hAnsi="Arial" w:cs="Arial"/>
              </w:rPr>
            </w:pPr>
            <w:r>
              <w:rPr>
                <w:rFonts w:ascii="Arial" w:hAnsi="Arial" w:cs="Arial"/>
              </w:rPr>
              <w:t>-26,0</w:t>
            </w:r>
            <w:r w:rsidR="007917B0">
              <w:rPr>
                <w:rFonts w:ascii="Arial" w:hAnsi="Arial" w:cs="Arial"/>
              </w:rPr>
              <w:t> %</w:t>
            </w:r>
          </w:p>
        </w:tc>
        <w:tc>
          <w:tcPr>
            <w:tcW w:w="2263" w:type="dxa"/>
            <w:tcBorders>
              <w:top w:val="dashSmallGap" w:sz="4" w:space="0" w:color="000000" w:themeColor="text1"/>
              <w:bottom w:val="single" w:sz="12" w:space="0" w:color="000000" w:themeColor="text1"/>
            </w:tcBorders>
          </w:tcPr>
          <w:p w14:paraId="51EF26C1" w14:textId="77599768" w:rsidR="00CB3FC8" w:rsidRPr="00525217" w:rsidRDefault="00CB3FC8" w:rsidP="00CD40BA">
            <w:pPr>
              <w:jc w:val="center"/>
              <w:rPr>
                <w:rFonts w:ascii="Arial" w:hAnsi="Arial" w:cs="Arial"/>
              </w:rPr>
            </w:pPr>
            <w:r>
              <w:rPr>
                <w:rFonts w:ascii="Arial" w:hAnsi="Arial" w:cs="Arial"/>
              </w:rPr>
              <w:t>-15,7</w:t>
            </w:r>
            <w:r w:rsidR="007917B0">
              <w:rPr>
                <w:rFonts w:ascii="Arial" w:hAnsi="Arial" w:cs="Arial"/>
              </w:rPr>
              <w:t> %</w:t>
            </w:r>
          </w:p>
        </w:tc>
        <w:tc>
          <w:tcPr>
            <w:tcW w:w="2261" w:type="dxa"/>
            <w:tcBorders>
              <w:top w:val="dashSmallGap" w:sz="4" w:space="0" w:color="000000" w:themeColor="text1"/>
              <w:bottom w:val="single" w:sz="12" w:space="0" w:color="000000" w:themeColor="text1"/>
            </w:tcBorders>
          </w:tcPr>
          <w:p w14:paraId="5EAE90F4" w14:textId="318E9306" w:rsidR="00CB3FC8" w:rsidRPr="00525217" w:rsidRDefault="00CB3FC8" w:rsidP="00CD40BA">
            <w:pPr>
              <w:jc w:val="center"/>
              <w:rPr>
                <w:rFonts w:ascii="Arial" w:hAnsi="Arial" w:cs="Arial"/>
              </w:rPr>
            </w:pPr>
            <w:r>
              <w:rPr>
                <w:rFonts w:ascii="Arial" w:hAnsi="Arial" w:cs="Arial"/>
              </w:rPr>
              <w:t>-20,2</w:t>
            </w:r>
            <w:r w:rsidR="007917B0">
              <w:rPr>
                <w:rFonts w:ascii="Arial" w:hAnsi="Arial" w:cs="Arial"/>
              </w:rPr>
              <w:t> %</w:t>
            </w:r>
          </w:p>
        </w:tc>
      </w:tr>
    </w:tbl>
    <w:p w14:paraId="7147978E" w14:textId="77777777" w:rsidR="000F1C9B" w:rsidRDefault="000F1C9B" w:rsidP="008173A1">
      <w:pPr>
        <w:spacing w:after="120" w:line="240" w:lineRule="auto"/>
        <w:jc w:val="center"/>
        <w:rPr>
          <w:rFonts w:ascii="Arial" w:hAnsi="Arial" w:cs="Arial"/>
        </w:rPr>
      </w:pPr>
      <w:r w:rsidRPr="00A665B6">
        <w:rPr>
          <w:rFonts w:ascii="Arial" w:hAnsi="Arial" w:cs="Arial"/>
          <w:i/>
          <w:sz w:val="20"/>
          <w:szCs w:val="20"/>
        </w:rPr>
        <w:t xml:space="preserve">Source : </w:t>
      </w:r>
      <w:r>
        <w:rPr>
          <w:rFonts w:ascii="Arial" w:hAnsi="Arial" w:cs="Arial"/>
          <w:i/>
          <w:sz w:val="20"/>
          <w:szCs w:val="20"/>
        </w:rPr>
        <w:t xml:space="preserve">FFB d’après </w:t>
      </w:r>
      <w:r w:rsidRPr="00DE26A0">
        <w:rPr>
          <w:rFonts w:ascii="Arial" w:hAnsi="Arial" w:cs="Arial"/>
          <w:i/>
          <w:sz w:val="20"/>
          <w:szCs w:val="20"/>
        </w:rPr>
        <w:t>Ministère de la transition écologique</w:t>
      </w:r>
      <w:r>
        <w:rPr>
          <w:rFonts w:ascii="Arial" w:hAnsi="Arial" w:cs="Arial"/>
          <w:i/>
          <w:sz w:val="20"/>
          <w:szCs w:val="20"/>
        </w:rPr>
        <w:t xml:space="preserve"> et de la cohésion des territoires</w:t>
      </w:r>
      <w:r w:rsidRPr="00DE26A0">
        <w:rPr>
          <w:rFonts w:ascii="Arial" w:hAnsi="Arial" w:cs="Arial"/>
          <w:i/>
          <w:sz w:val="20"/>
          <w:szCs w:val="20"/>
        </w:rPr>
        <w:t xml:space="preserve"> (MTE</w:t>
      </w:r>
      <w:r>
        <w:rPr>
          <w:rFonts w:ascii="Arial" w:hAnsi="Arial" w:cs="Arial"/>
          <w:i/>
          <w:sz w:val="20"/>
          <w:szCs w:val="20"/>
        </w:rPr>
        <w:t>CT</w:t>
      </w:r>
      <w:r w:rsidRPr="00DE26A0">
        <w:rPr>
          <w:rFonts w:ascii="Arial" w:hAnsi="Arial" w:cs="Arial"/>
          <w:i/>
          <w:sz w:val="20"/>
          <w:szCs w:val="20"/>
        </w:rPr>
        <w:t>) / Commissariat général au développement durable (CGDD) / Service de la donnée et des études statistiques (SDES)</w:t>
      </w:r>
      <w:r w:rsidRPr="00A665B6">
        <w:rPr>
          <w:rFonts w:ascii="Arial" w:hAnsi="Arial" w:cs="Arial"/>
          <w:i/>
          <w:sz w:val="20"/>
          <w:szCs w:val="20"/>
        </w:rPr>
        <w:t>, Sit@del2</w:t>
      </w:r>
      <w:r>
        <w:rPr>
          <w:rFonts w:ascii="Arial" w:hAnsi="Arial" w:cs="Arial"/>
          <w:i/>
          <w:sz w:val="20"/>
          <w:szCs w:val="20"/>
        </w:rPr>
        <w:t xml:space="preserve"> </w:t>
      </w:r>
    </w:p>
    <w:p w14:paraId="48302EBD" w14:textId="297637F6" w:rsidR="00696B86" w:rsidRPr="00696B86" w:rsidRDefault="00696B86" w:rsidP="00696B86">
      <w:pPr>
        <w:spacing w:after="120" w:line="360" w:lineRule="auto"/>
        <w:jc w:val="both"/>
        <w:rPr>
          <w:rFonts w:ascii="Arial" w:hAnsi="Arial" w:cs="Arial"/>
        </w:rPr>
      </w:pPr>
      <w:r w:rsidRPr="00696B86">
        <w:rPr>
          <w:rFonts w:ascii="Arial" w:hAnsi="Arial" w:cs="Arial"/>
        </w:rPr>
        <w:t>Plus en détail, dans l’individuel, sur les mêmes périodes que précédemment, les ouvertures de chantier continuent de chuter encore fortement, à respectivement -22,5</w:t>
      </w:r>
      <w:r w:rsidR="007917B0">
        <w:rPr>
          <w:rFonts w:ascii="Arial" w:hAnsi="Arial" w:cs="Arial"/>
        </w:rPr>
        <w:t> %</w:t>
      </w:r>
      <w:r w:rsidRPr="00696B86">
        <w:rPr>
          <w:rFonts w:ascii="Arial" w:hAnsi="Arial" w:cs="Arial"/>
        </w:rPr>
        <w:t xml:space="preserve"> et -23,0</w:t>
      </w:r>
      <w:r w:rsidR="007917B0">
        <w:rPr>
          <w:rFonts w:ascii="Arial" w:hAnsi="Arial" w:cs="Arial"/>
        </w:rPr>
        <w:t> %</w:t>
      </w:r>
      <w:r w:rsidRPr="00696B86">
        <w:rPr>
          <w:rFonts w:ascii="Arial" w:hAnsi="Arial" w:cs="Arial"/>
        </w:rPr>
        <w:t>. En revanche, la baisse des autorisations se tasse sur trois mois à -8,4</w:t>
      </w:r>
      <w:r w:rsidR="007917B0">
        <w:rPr>
          <w:rFonts w:ascii="Arial" w:hAnsi="Arial" w:cs="Arial"/>
        </w:rPr>
        <w:t> %</w:t>
      </w:r>
      <w:r w:rsidRPr="00696B86">
        <w:rPr>
          <w:rFonts w:ascii="Arial" w:hAnsi="Arial" w:cs="Arial"/>
        </w:rPr>
        <w:t>, contre -13,0</w:t>
      </w:r>
      <w:r w:rsidR="007917B0">
        <w:rPr>
          <w:rFonts w:ascii="Arial" w:hAnsi="Arial" w:cs="Arial"/>
        </w:rPr>
        <w:t> %</w:t>
      </w:r>
      <w:r w:rsidRPr="00696B86">
        <w:rPr>
          <w:rFonts w:ascii="Arial" w:hAnsi="Arial" w:cs="Arial"/>
        </w:rPr>
        <w:t>, -14,7</w:t>
      </w:r>
      <w:r w:rsidR="007917B0">
        <w:rPr>
          <w:rFonts w:ascii="Arial" w:hAnsi="Arial" w:cs="Arial"/>
        </w:rPr>
        <w:t> %</w:t>
      </w:r>
      <w:r w:rsidRPr="00696B86">
        <w:rPr>
          <w:rFonts w:ascii="Arial" w:hAnsi="Arial" w:cs="Arial"/>
        </w:rPr>
        <w:t xml:space="preserve"> et -16,2</w:t>
      </w:r>
      <w:r w:rsidR="007917B0">
        <w:rPr>
          <w:rFonts w:ascii="Arial" w:hAnsi="Arial" w:cs="Arial"/>
        </w:rPr>
        <w:t> %</w:t>
      </w:r>
      <w:r w:rsidRPr="00696B86">
        <w:rPr>
          <w:rFonts w:ascii="Arial" w:hAnsi="Arial" w:cs="Arial"/>
        </w:rPr>
        <w:t xml:space="preserve"> sur six, neuf et douze mois.</w:t>
      </w:r>
    </w:p>
    <w:p w14:paraId="7B7DF155" w14:textId="13C1514B" w:rsidR="00696B86" w:rsidRDefault="00696B86" w:rsidP="00696B86">
      <w:pPr>
        <w:spacing w:after="120" w:line="360" w:lineRule="auto"/>
        <w:jc w:val="both"/>
        <w:rPr>
          <w:rFonts w:ascii="Arial" w:hAnsi="Arial" w:cs="Arial"/>
        </w:rPr>
      </w:pPr>
      <w:r w:rsidRPr="00696B86">
        <w:rPr>
          <w:rFonts w:ascii="Arial" w:hAnsi="Arial" w:cs="Arial"/>
        </w:rPr>
        <w:t>Le collectif ressort mieux orienté.</w:t>
      </w:r>
      <w:r>
        <w:rPr>
          <w:rFonts w:ascii="Arial" w:hAnsi="Arial" w:cs="Arial"/>
        </w:rPr>
        <w:t xml:space="preserve"> </w:t>
      </w:r>
      <w:r w:rsidRPr="00696B86">
        <w:rPr>
          <w:rFonts w:ascii="Arial" w:hAnsi="Arial" w:cs="Arial"/>
        </w:rPr>
        <w:t>De fait, le repli de 5,5</w:t>
      </w:r>
      <w:r w:rsidR="007917B0">
        <w:rPr>
          <w:rFonts w:ascii="Arial" w:hAnsi="Arial" w:cs="Arial"/>
        </w:rPr>
        <w:t> %</w:t>
      </w:r>
      <w:r w:rsidRPr="00696B86">
        <w:rPr>
          <w:rFonts w:ascii="Arial" w:hAnsi="Arial" w:cs="Arial"/>
        </w:rPr>
        <w:t xml:space="preserve"> des mises en chantier en glissement annuel sur sept mois à fin juillet 2024 laisse place à un </w:t>
      </w:r>
      <w:r w:rsidR="007917B0">
        <w:rPr>
          <w:rFonts w:ascii="Arial" w:hAnsi="Arial" w:cs="Arial"/>
        </w:rPr>
        <w:t>rapide rebond</w:t>
      </w:r>
      <w:r w:rsidR="007917B0" w:rsidRPr="00696B86">
        <w:rPr>
          <w:rFonts w:ascii="Arial" w:hAnsi="Arial" w:cs="Arial"/>
        </w:rPr>
        <w:t xml:space="preserve"> </w:t>
      </w:r>
      <w:r w:rsidRPr="00696B86">
        <w:rPr>
          <w:rFonts w:ascii="Arial" w:hAnsi="Arial" w:cs="Arial"/>
        </w:rPr>
        <w:t>de 11,1</w:t>
      </w:r>
      <w:r w:rsidR="007917B0">
        <w:rPr>
          <w:rFonts w:ascii="Arial" w:hAnsi="Arial" w:cs="Arial"/>
        </w:rPr>
        <w:t> %</w:t>
      </w:r>
      <w:r w:rsidRPr="00696B86">
        <w:rPr>
          <w:rFonts w:ascii="Arial" w:hAnsi="Arial" w:cs="Arial"/>
        </w:rPr>
        <w:t xml:space="preserve"> sur trois mois. </w:t>
      </w:r>
      <w:r w:rsidR="007917B0">
        <w:rPr>
          <w:rFonts w:ascii="Arial" w:hAnsi="Arial" w:cs="Arial"/>
        </w:rPr>
        <w:t>Il s’alimente du</w:t>
      </w:r>
      <w:r w:rsidRPr="00696B86">
        <w:rPr>
          <w:rFonts w:ascii="Arial" w:hAnsi="Arial" w:cs="Arial"/>
        </w:rPr>
        <w:t xml:space="preserve"> programme </w:t>
      </w:r>
      <w:r w:rsidR="007917B0">
        <w:rPr>
          <w:rFonts w:ascii="Arial" w:hAnsi="Arial" w:cs="Arial"/>
        </w:rPr>
        <w:t xml:space="preserve">non pérenne </w:t>
      </w:r>
      <w:r w:rsidRPr="00696B86">
        <w:rPr>
          <w:rFonts w:ascii="Arial" w:hAnsi="Arial" w:cs="Arial"/>
        </w:rPr>
        <w:t>de rachat du stock des promoteurs par Action Logement et CDC Habitat</w:t>
      </w:r>
      <w:r>
        <w:rPr>
          <w:rFonts w:ascii="Arial" w:hAnsi="Arial" w:cs="Arial"/>
        </w:rPr>
        <w:t xml:space="preserve">. </w:t>
      </w:r>
      <w:r w:rsidRPr="00696B86">
        <w:rPr>
          <w:rFonts w:ascii="Arial" w:hAnsi="Arial" w:cs="Arial"/>
        </w:rPr>
        <w:t xml:space="preserve">D’ailleurs, les permis pour ce segment restent clairement orientés </w:t>
      </w:r>
      <w:r w:rsidRPr="00696B86">
        <w:rPr>
          <w:rFonts w:ascii="Arial" w:hAnsi="Arial" w:cs="Arial"/>
        </w:rPr>
        <w:lastRenderedPageBreak/>
        <w:t>à la baisse, en glissement annuel sur sept comme sur trois mois, respectivement de 7,1</w:t>
      </w:r>
      <w:r w:rsidR="007917B0">
        <w:rPr>
          <w:rFonts w:ascii="Arial" w:hAnsi="Arial" w:cs="Arial"/>
        </w:rPr>
        <w:t> %</w:t>
      </w:r>
      <w:r w:rsidRPr="00696B86">
        <w:rPr>
          <w:rFonts w:ascii="Arial" w:hAnsi="Arial" w:cs="Arial"/>
        </w:rPr>
        <w:t xml:space="preserve"> et 5,3</w:t>
      </w:r>
      <w:r w:rsidR="007917B0">
        <w:rPr>
          <w:rFonts w:ascii="Arial" w:hAnsi="Arial" w:cs="Arial"/>
        </w:rPr>
        <w:t> %</w:t>
      </w:r>
      <w:r w:rsidRPr="00696B86">
        <w:rPr>
          <w:rFonts w:ascii="Arial" w:hAnsi="Arial" w:cs="Arial"/>
        </w:rPr>
        <w:t>.</w:t>
      </w:r>
    </w:p>
    <w:p w14:paraId="48A24C42" w14:textId="7A58723D" w:rsidR="00696B86" w:rsidRPr="00E57160" w:rsidRDefault="00E22F75" w:rsidP="00696B86">
      <w:pPr>
        <w:spacing w:after="120" w:line="360" w:lineRule="auto"/>
        <w:jc w:val="both"/>
        <w:rPr>
          <w:rFonts w:ascii="Arial" w:hAnsi="Arial" w:cs="Arial"/>
        </w:rPr>
      </w:pPr>
      <w:r>
        <w:rPr>
          <w:rFonts w:ascii="Arial" w:hAnsi="Arial" w:cs="Arial"/>
        </w:rPr>
        <w:t>L</w:t>
      </w:r>
      <w:r w:rsidR="00696B86" w:rsidRPr="00696B86">
        <w:rPr>
          <w:rFonts w:ascii="Arial" w:hAnsi="Arial" w:cs="Arial"/>
        </w:rPr>
        <w:t>a tendance 2024 en rythme annuel cvs ressort à 260</w:t>
      </w:r>
      <w:r>
        <w:rPr>
          <w:rFonts w:ascii="Arial" w:hAnsi="Arial" w:cs="Arial"/>
        </w:rPr>
        <w:t> </w:t>
      </w:r>
      <w:r w:rsidR="00696B86" w:rsidRPr="00696B86">
        <w:rPr>
          <w:rFonts w:ascii="Arial" w:hAnsi="Arial" w:cs="Arial"/>
        </w:rPr>
        <w:t xml:space="preserve">000 logements commencés, ce qui constitue toujours un plus bas historique depuis 1986 (cf. graphique </w:t>
      </w:r>
      <w:r w:rsidR="00696B86">
        <w:rPr>
          <w:rFonts w:ascii="Arial" w:hAnsi="Arial" w:cs="Arial"/>
        </w:rPr>
        <w:t>9</w:t>
      </w:r>
      <w:r w:rsidR="00696B86" w:rsidRPr="00696B86">
        <w:rPr>
          <w:rFonts w:ascii="Arial" w:hAnsi="Arial" w:cs="Arial"/>
        </w:rPr>
        <w:t>), sans doute même depuis la fin des années 1950.</w:t>
      </w:r>
    </w:p>
    <w:p w14:paraId="52754738" w14:textId="1A085A13" w:rsidR="00780008" w:rsidRPr="006B1FA8" w:rsidRDefault="00780008" w:rsidP="00780008">
      <w:pPr>
        <w:spacing w:after="0" w:line="360" w:lineRule="auto"/>
        <w:jc w:val="center"/>
        <w:rPr>
          <w:rFonts w:ascii="Arial" w:hAnsi="Arial" w:cs="Arial"/>
          <w:b/>
          <w:color w:val="000000" w:themeColor="text1"/>
        </w:rPr>
      </w:pPr>
      <w:r w:rsidRPr="006B1FA8">
        <w:rPr>
          <w:rFonts w:ascii="Arial" w:hAnsi="Arial" w:cs="Arial"/>
          <w:color w:val="000000" w:themeColor="text1"/>
        </w:rPr>
        <w:t xml:space="preserve">Graphique </w:t>
      </w:r>
      <w:r w:rsidR="0024550D">
        <w:rPr>
          <w:rFonts w:ascii="Arial" w:hAnsi="Arial" w:cs="Arial"/>
          <w:color w:val="000000" w:themeColor="text1"/>
        </w:rPr>
        <w:t>9</w:t>
      </w:r>
      <w:r w:rsidRPr="006B1FA8">
        <w:rPr>
          <w:rFonts w:ascii="Arial" w:hAnsi="Arial" w:cs="Arial"/>
          <w:color w:val="000000" w:themeColor="text1"/>
        </w:rPr>
        <w:t xml:space="preserve"> – </w:t>
      </w:r>
      <w:r w:rsidRPr="006B1FA8">
        <w:rPr>
          <w:rFonts w:ascii="Arial" w:hAnsi="Arial" w:cs="Arial"/>
          <w:b/>
          <w:color w:val="000000" w:themeColor="text1"/>
        </w:rPr>
        <w:t>Autorisations</w:t>
      </w:r>
      <w:r>
        <w:rPr>
          <w:rFonts w:ascii="Arial" w:hAnsi="Arial" w:cs="Arial"/>
          <w:b/>
          <w:color w:val="000000" w:themeColor="text1"/>
        </w:rPr>
        <w:t xml:space="preserve"> et</w:t>
      </w:r>
      <w:r w:rsidRPr="006B1FA8">
        <w:rPr>
          <w:rFonts w:ascii="Arial" w:hAnsi="Arial" w:cs="Arial"/>
          <w:b/>
          <w:color w:val="000000" w:themeColor="text1"/>
        </w:rPr>
        <w:t xml:space="preserve"> mises en chantier</w:t>
      </w:r>
      <w:r>
        <w:rPr>
          <w:rFonts w:ascii="Arial" w:hAnsi="Arial" w:cs="Arial"/>
          <w:b/>
          <w:color w:val="000000" w:themeColor="text1"/>
        </w:rPr>
        <w:t xml:space="preserve"> </w:t>
      </w:r>
      <w:r w:rsidRPr="006B1FA8">
        <w:rPr>
          <w:rFonts w:ascii="Arial" w:hAnsi="Arial" w:cs="Arial"/>
          <w:b/>
          <w:color w:val="000000" w:themeColor="text1"/>
        </w:rPr>
        <w:t xml:space="preserve">de logements </w:t>
      </w:r>
      <w:r>
        <w:rPr>
          <w:rFonts w:ascii="Arial" w:hAnsi="Arial" w:cs="Arial"/>
          <w:color w:val="000000" w:themeColor="text1"/>
        </w:rPr>
        <w:t>(en date réelle estimée)</w:t>
      </w:r>
    </w:p>
    <w:p w14:paraId="5CE9EF9C" w14:textId="23C7D3E6" w:rsidR="00780008" w:rsidRPr="00E17230" w:rsidRDefault="00CB3FC8" w:rsidP="006C3F07">
      <w:pPr>
        <w:spacing w:after="60" w:line="240" w:lineRule="auto"/>
        <w:jc w:val="both"/>
        <w:rPr>
          <w:rFonts w:ascii="Arial" w:hAnsi="Arial" w:cs="Arial"/>
        </w:rPr>
      </w:pPr>
      <w:r w:rsidRPr="00CB3FC8">
        <w:rPr>
          <w:rFonts w:ascii="Arial" w:hAnsi="Arial" w:cs="Arial"/>
          <w:noProof/>
        </w:rPr>
        <w:drawing>
          <wp:inline distT="0" distB="0" distL="0" distR="0" wp14:anchorId="5A96623C" wp14:editId="03D5D04F">
            <wp:extent cx="5760720" cy="3064510"/>
            <wp:effectExtent l="0" t="0" r="0" b="2540"/>
            <wp:docPr id="206554191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7585C8C9" w14:textId="77777777" w:rsidR="006C3F07" w:rsidRDefault="006C3F07" w:rsidP="007D3E9F">
      <w:pPr>
        <w:spacing w:after="120" w:line="360" w:lineRule="auto"/>
        <w:jc w:val="center"/>
        <w:rPr>
          <w:rFonts w:ascii="Arial" w:hAnsi="Arial" w:cs="Arial"/>
          <w:i/>
          <w:sz w:val="20"/>
          <w:szCs w:val="20"/>
        </w:rPr>
      </w:pPr>
      <w:r w:rsidRPr="00767A96">
        <w:rPr>
          <w:rFonts w:ascii="Arial" w:hAnsi="Arial" w:cs="Arial"/>
          <w:i/>
          <w:sz w:val="20"/>
          <w:szCs w:val="20"/>
        </w:rPr>
        <w:t>Source : MTE</w:t>
      </w:r>
      <w:r>
        <w:rPr>
          <w:rFonts w:ascii="Arial" w:hAnsi="Arial" w:cs="Arial"/>
          <w:i/>
          <w:sz w:val="20"/>
          <w:szCs w:val="20"/>
        </w:rPr>
        <w:t>CT</w:t>
      </w:r>
      <w:r w:rsidRPr="00767A96">
        <w:rPr>
          <w:rFonts w:ascii="Arial" w:hAnsi="Arial" w:cs="Arial"/>
          <w:i/>
          <w:sz w:val="20"/>
          <w:szCs w:val="20"/>
        </w:rPr>
        <w:t xml:space="preserve">/CGDD/SDES, Sit@del2 </w:t>
      </w:r>
    </w:p>
    <w:p w14:paraId="05F9E2B1" w14:textId="1B520742" w:rsidR="00E21F50" w:rsidRPr="00C93945" w:rsidRDefault="001D77DD" w:rsidP="00A574F8">
      <w:pPr>
        <w:spacing w:after="120" w:line="360" w:lineRule="auto"/>
        <w:jc w:val="both"/>
        <w:rPr>
          <w:rFonts w:ascii="Arial" w:hAnsi="Arial" w:cs="Arial"/>
        </w:rPr>
      </w:pPr>
      <w:r w:rsidRPr="00C93945">
        <w:rPr>
          <w:rFonts w:ascii="Arial" w:hAnsi="Arial" w:cs="Arial"/>
        </w:rPr>
        <w:t>E</w:t>
      </w:r>
      <w:r w:rsidR="00B74484" w:rsidRPr="00C93945">
        <w:rPr>
          <w:rFonts w:ascii="Arial" w:hAnsi="Arial" w:cs="Arial"/>
        </w:rPr>
        <w:t xml:space="preserve">ntre les </w:t>
      </w:r>
      <w:r w:rsidR="00C93945" w:rsidRPr="00C93945">
        <w:rPr>
          <w:rFonts w:ascii="Arial" w:hAnsi="Arial" w:cs="Arial"/>
        </w:rPr>
        <w:t>sept premiers mois</w:t>
      </w:r>
      <w:r w:rsidR="00B74484" w:rsidRPr="00C93945">
        <w:rPr>
          <w:rFonts w:ascii="Arial" w:hAnsi="Arial" w:cs="Arial"/>
        </w:rPr>
        <w:t xml:space="preserve"> 2023 et 2024</w:t>
      </w:r>
      <w:r w:rsidR="00A574F8" w:rsidRPr="00C93945">
        <w:rPr>
          <w:rFonts w:ascii="Arial" w:hAnsi="Arial" w:cs="Arial"/>
        </w:rPr>
        <w:t>, les mises en chantier de logements chutent dans toutes les régions</w:t>
      </w:r>
      <w:r w:rsidRPr="00C93945">
        <w:rPr>
          <w:rFonts w:ascii="Arial" w:hAnsi="Arial" w:cs="Arial"/>
        </w:rPr>
        <w:t xml:space="preserve"> </w:t>
      </w:r>
      <w:r w:rsidR="00A574F8" w:rsidRPr="00C93945">
        <w:rPr>
          <w:rFonts w:ascii="Arial" w:hAnsi="Arial" w:cs="Arial"/>
        </w:rPr>
        <w:t>(cf. carte 1a). Il en va de même</w:t>
      </w:r>
      <w:r w:rsidR="007D1146" w:rsidRPr="00C93945">
        <w:rPr>
          <w:rFonts w:ascii="Arial" w:hAnsi="Arial" w:cs="Arial"/>
        </w:rPr>
        <w:t xml:space="preserve"> </w:t>
      </w:r>
      <w:r w:rsidR="00A574F8" w:rsidRPr="00C93945">
        <w:rPr>
          <w:rFonts w:ascii="Arial" w:hAnsi="Arial" w:cs="Arial"/>
        </w:rPr>
        <w:t xml:space="preserve">des autorisations (cf. carte 1b), </w:t>
      </w:r>
      <w:r w:rsidR="00816DEF" w:rsidRPr="00C93945">
        <w:rPr>
          <w:rFonts w:ascii="Arial" w:hAnsi="Arial" w:cs="Arial"/>
        </w:rPr>
        <w:t>hors</w:t>
      </w:r>
      <w:r w:rsidR="00665E9E" w:rsidRPr="00C93945">
        <w:rPr>
          <w:rFonts w:ascii="Arial" w:hAnsi="Arial" w:cs="Arial"/>
        </w:rPr>
        <w:t xml:space="preserve"> Normandie</w:t>
      </w:r>
      <w:r w:rsidR="00C93945">
        <w:rPr>
          <w:rFonts w:ascii="Arial" w:hAnsi="Arial" w:cs="Arial"/>
        </w:rPr>
        <w:t>, Bretagne et PACA</w:t>
      </w:r>
      <w:r w:rsidR="00A574F8" w:rsidRPr="00C93945">
        <w:rPr>
          <w:rFonts w:ascii="Arial" w:hAnsi="Arial" w:cs="Arial"/>
        </w:rPr>
        <w:t>.</w:t>
      </w:r>
    </w:p>
    <w:p w14:paraId="327F1642" w14:textId="77777777" w:rsidR="00696B86" w:rsidRDefault="00696B86">
      <w:pPr>
        <w:rPr>
          <w:rFonts w:ascii="Arial" w:hAnsi="Arial" w:cs="Arial"/>
        </w:rPr>
      </w:pPr>
      <w:r>
        <w:rPr>
          <w:rFonts w:ascii="Arial" w:hAnsi="Arial" w:cs="Arial"/>
        </w:rPr>
        <w:br w:type="page"/>
      </w:r>
    </w:p>
    <w:p w14:paraId="73373D3A" w14:textId="17A1BA91" w:rsidR="000E0E41" w:rsidRPr="00B70B58" w:rsidRDefault="000E0E41" w:rsidP="000E0E41">
      <w:pPr>
        <w:spacing w:after="0" w:line="360" w:lineRule="auto"/>
        <w:jc w:val="center"/>
        <w:rPr>
          <w:rFonts w:ascii="Arial" w:hAnsi="Arial" w:cs="Arial"/>
        </w:rPr>
      </w:pPr>
      <w:r w:rsidRPr="00B70B58">
        <w:rPr>
          <w:rFonts w:ascii="Arial" w:hAnsi="Arial" w:cs="Arial"/>
        </w:rPr>
        <w:lastRenderedPageBreak/>
        <w:t xml:space="preserve">Cartes </w:t>
      </w:r>
      <w:r w:rsidR="00AB0CD0">
        <w:rPr>
          <w:rFonts w:ascii="Arial" w:hAnsi="Arial" w:cs="Arial"/>
        </w:rPr>
        <w:t>1</w:t>
      </w:r>
      <w:r w:rsidRPr="00B70B58">
        <w:rPr>
          <w:rFonts w:ascii="Arial" w:hAnsi="Arial" w:cs="Arial"/>
        </w:rPr>
        <w:t xml:space="preserve">a et </w:t>
      </w:r>
      <w:r w:rsidR="00AB0CD0">
        <w:rPr>
          <w:rFonts w:ascii="Arial" w:hAnsi="Arial" w:cs="Arial"/>
        </w:rPr>
        <w:t>1</w:t>
      </w:r>
      <w:r w:rsidRPr="00B70B58">
        <w:rPr>
          <w:rFonts w:ascii="Arial" w:hAnsi="Arial" w:cs="Arial"/>
        </w:rPr>
        <w:t xml:space="preserve">b – </w:t>
      </w:r>
      <w:r w:rsidR="00BA174A">
        <w:rPr>
          <w:rFonts w:ascii="Arial" w:hAnsi="Arial" w:cs="Arial"/>
          <w:b/>
        </w:rPr>
        <w:t xml:space="preserve">Évolutions régionales </w:t>
      </w:r>
      <w:r w:rsidR="00BA174A" w:rsidRPr="00B70B58">
        <w:rPr>
          <w:rFonts w:ascii="Arial" w:hAnsi="Arial" w:cs="Arial"/>
        </w:rPr>
        <w:t>(en</w:t>
      </w:r>
      <w:r w:rsidR="00E26839">
        <w:rPr>
          <w:rFonts w:ascii="Arial" w:hAnsi="Arial" w:cs="Arial"/>
        </w:rPr>
        <w:t> %</w:t>
      </w:r>
      <w:r w:rsidR="00BA174A" w:rsidRPr="00B70B58">
        <w:rPr>
          <w:rFonts w:ascii="Arial" w:hAnsi="Arial" w:cs="Arial"/>
        </w:rPr>
        <w:t>)</w:t>
      </w:r>
      <w:r w:rsidR="00BA174A">
        <w:rPr>
          <w:rFonts w:ascii="Arial" w:hAnsi="Arial" w:cs="Arial"/>
        </w:rPr>
        <w:t xml:space="preserve"> </w:t>
      </w:r>
      <w:r w:rsidR="00BA174A" w:rsidRPr="00B70B58">
        <w:rPr>
          <w:rFonts w:ascii="Arial" w:hAnsi="Arial" w:cs="Arial"/>
          <w:b/>
        </w:rPr>
        <w:t xml:space="preserve">des mises en chantier et autorisations de logements </w:t>
      </w:r>
      <w:r w:rsidR="00BA174A">
        <w:rPr>
          <w:rFonts w:ascii="Arial" w:hAnsi="Arial" w:cs="Arial"/>
          <w:b/>
        </w:rPr>
        <w:t xml:space="preserve">en </w:t>
      </w:r>
      <w:r w:rsidR="009514AE">
        <w:rPr>
          <w:rFonts w:ascii="Arial" w:hAnsi="Arial" w:cs="Arial"/>
          <w:b/>
        </w:rPr>
        <w:t xml:space="preserve">glissement annuel sur </w:t>
      </w:r>
      <w:r w:rsidR="000C6018">
        <w:rPr>
          <w:rFonts w:ascii="Arial" w:hAnsi="Arial" w:cs="Arial"/>
          <w:b/>
        </w:rPr>
        <w:t>sept</w:t>
      </w:r>
      <w:r w:rsidR="009514AE">
        <w:rPr>
          <w:rFonts w:ascii="Arial" w:hAnsi="Arial" w:cs="Arial"/>
          <w:b/>
        </w:rPr>
        <w:t xml:space="preserve"> mois à fin </w:t>
      </w:r>
      <w:r w:rsidR="000C6018">
        <w:rPr>
          <w:rFonts w:ascii="Arial" w:hAnsi="Arial" w:cs="Arial"/>
          <w:b/>
        </w:rPr>
        <w:t>juillet</w:t>
      </w:r>
      <w:r w:rsidR="009514AE">
        <w:rPr>
          <w:rFonts w:ascii="Arial" w:hAnsi="Arial" w:cs="Arial"/>
          <w:b/>
        </w:rPr>
        <w:t xml:space="preserve"> 2024</w:t>
      </w:r>
      <w:r w:rsidRPr="00B70B58">
        <w:rPr>
          <w:rFonts w:ascii="Arial" w:hAnsi="Arial" w:cs="Arial"/>
          <w:b/>
        </w:rPr>
        <w:t xml:space="preserve"> </w:t>
      </w:r>
    </w:p>
    <w:p w14:paraId="2934D661" w14:textId="2E0FDAE3" w:rsidR="000E0E41" w:rsidRPr="00407827" w:rsidRDefault="00F91C07"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314D0CEF" wp14:editId="42B7926D">
            <wp:extent cx="5760720" cy="2510790"/>
            <wp:effectExtent l="0" t="0" r="0" b="3810"/>
            <wp:docPr id="1897432628" name="Image 10"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32628" name="Image 10" descr="Une image contenant texte, carte, atlas&#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60720" cy="2510790"/>
                    </a:xfrm>
                    <a:prstGeom prst="rect">
                      <a:avLst/>
                    </a:prstGeom>
                  </pic:spPr>
                </pic:pic>
              </a:graphicData>
            </a:graphic>
          </wp:inline>
        </w:drawing>
      </w:r>
    </w:p>
    <w:p w14:paraId="423105DB" w14:textId="77777777" w:rsidR="00D31668" w:rsidRDefault="000E0E41" w:rsidP="00D31668">
      <w:pPr>
        <w:spacing w:before="120" w:after="0" w:line="360" w:lineRule="auto"/>
        <w:jc w:val="center"/>
        <w:rPr>
          <w:rFonts w:ascii="Arial" w:hAnsi="Arial" w:cs="Arial"/>
          <w:i/>
        </w:rPr>
      </w:pPr>
      <w:r w:rsidRPr="00767A96">
        <w:rPr>
          <w:rFonts w:ascii="Arial" w:hAnsi="Arial" w:cs="Arial"/>
          <w:i/>
          <w:sz w:val="20"/>
          <w:szCs w:val="20"/>
        </w:rPr>
        <w:t>Source : MTE</w:t>
      </w:r>
      <w:r>
        <w:rPr>
          <w:rFonts w:ascii="Arial" w:hAnsi="Arial" w:cs="Arial"/>
          <w:i/>
          <w:sz w:val="20"/>
          <w:szCs w:val="20"/>
        </w:rPr>
        <w:t>CT</w:t>
      </w:r>
      <w:r w:rsidRPr="00767A96">
        <w:rPr>
          <w:rFonts w:ascii="Arial" w:hAnsi="Arial" w:cs="Arial"/>
          <w:i/>
          <w:sz w:val="20"/>
          <w:szCs w:val="20"/>
        </w:rPr>
        <w:t xml:space="preserve">/CGDD/SDES, Sit@del2 </w:t>
      </w:r>
    </w:p>
    <w:p w14:paraId="0876D104" w14:textId="28258376" w:rsidR="00406A76" w:rsidRPr="00406A76" w:rsidRDefault="00CF5465" w:rsidP="00D31668">
      <w:pPr>
        <w:spacing w:before="360" w:after="120" w:line="360" w:lineRule="auto"/>
        <w:rPr>
          <w:rFonts w:ascii="Arial" w:hAnsi="Arial" w:cs="Arial"/>
          <w:i/>
        </w:rPr>
      </w:pPr>
      <w:r>
        <w:rPr>
          <w:rFonts w:ascii="Arial" w:hAnsi="Arial" w:cs="Arial"/>
          <w:i/>
        </w:rPr>
        <w:t>2.1.</w:t>
      </w:r>
      <w:r w:rsidR="00644165">
        <w:rPr>
          <w:rFonts w:ascii="Arial" w:hAnsi="Arial" w:cs="Arial"/>
          <w:i/>
        </w:rPr>
        <w:t>2</w:t>
      </w:r>
      <w:r w:rsidR="00406A76" w:rsidRPr="00406A76">
        <w:rPr>
          <w:rFonts w:ascii="Arial" w:hAnsi="Arial" w:cs="Arial"/>
          <w:i/>
        </w:rPr>
        <w:t xml:space="preserve"> L</w:t>
      </w:r>
      <w:r w:rsidR="00644165">
        <w:rPr>
          <w:rFonts w:ascii="Arial" w:hAnsi="Arial" w:cs="Arial"/>
          <w:i/>
        </w:rPr>
        <w:t>’amont de la filière</w:t>
      </w:r>
    </w:p>
    <w:p w14:paraId="11C7B776" w14:textId="2944C9C8" w:rsidR="00E84D91" w:rsidRDefault="00E84D91" w:rsidP="00E84D91">
      <w:pPr>
        <w:spacing w:after="120" w:line="360" w:lineRule="auto"/>
        <w:jc w:val="both"/>
        <w:rPr>
          <w:rFonts w:ascii="Arial" w:hAnsi="Arial" w:cs="Arial"/>
        </w:rPr>
      </w:pPr>
      <w:r w:rsidRPr="00E84D91">
        <w:rPr>
          <w:rFonts w:ascii="Arial" w:hAnsi="Arial" w:cs="Arial"/>
        </w:rPr>
        <w:t>Les ventes de logements des promoteurs, y compris en bloc, se stabilisent quasiment (-0,9</w:t>
      </w:r>
      <w:r>
        <w:rPr>
          <w:rFonts w:ascii="Arial" w:hAnsi="Arial" w:cs="Arial"/>
        </w:rPr>
        <w:t> </w:t>
      </w:r>
      <w:r w:rsidRPr="00E84D91">
        <w:rPr>
          <w:rFonts w:ascii="Arial" w:hAnsi="Arial" w:cs="Arial"/>
        </w:rPr>
        <w:t xml:space="preserve">%), à bas niveau, en glissement annuel sur le premier semestre 2024 (cf. tableau </w:t>
      </w:r>
      <w:r>
        <w:rPr>
          <w:rFonts w:ascii="Arial" w:hAnsi="Arial" w:cs="Arial"/>
        </w:rPr>
        <w:t>2</w:t>
      </w:r>
      <w:r w:rsidRPr="00E84D91">
        <w:rPr>
          <w:rFonts w:ascii="Arial" w:hAnsi="Arial" w:cs="Arial"/>
        </w:rPr>
        <w:t>) et s’infléchissent même, à +5,0</w:t>
      </w:r>
      <w:r w:rsidR="00E22F75">
        <w:rPr>
          <w:rFonts w:ascii="Arial" w:hAnsi="Arial" w:cs="Arial"/>
        </w:rPr>
        <w:t> %</w:t>
      </w:r>
      <w:r w:rsidRPr="00E84D91">
        <w:rPr>
          <w:rFonts w:ascii="Arial" w:hAnsi="Arial" w:cs="Arial"/>
        </w:rPr>
        <w:t>, sur le seul deuxième trimestre.</w:t>
      </w:r>
    </w:p>
    <w:p w14:paraId="5CD8BCB7" w14:textId="7730639F" w:rsidR="00E84D91" w:rsidRPr="00ED7379" w:rsidRDefault="00E84D91" w:rsidP="00E84D91">
      <w:pPr>
        <w:spacing w:after="0" w:line="360" w:lineRule="auto"/>
        <w:jc w:val="center"/>
        <w:rPr>
          <w:rFonts w:ascii="Arial" w:hAnsi="Arial" w:cs="Arial"/>
        </w:rPr>
      </w:pPr>
      <w:r>
        <w:rPr>
          <w:rFonts w:ascii="Arial" w:hAnsi="Arial" w:cs="Arial"/>
        </w:rPr>
        <w:t>Tableau 2</w:t>
      </w:r>
      <w:r w:rsidRPr="00DE26A0">
        <w:rPr>
          <w:rFonts w:ascii="Arial" w:hAnsi="Arial" w:cs="Arial"/>
        </w:rPr>
        <w:t xml:space="preserve"> – </w:t>
      </w:r>
      <w:r w:rsidRPr="00DE26A0">
        <w:rPr>
          <w:rFonts w:ascii="Arial" w:hAnsi="Arial" w:cs="Arial"/>
          <w:b/>
        </w:rPr>
        <w:t xml:space="preserve">Évolutions </w:t>
      </w:r>
      <w:r w:rsidRPr="00DE26A0">
        <w:rPr>
          <w:rFonts w:ascii="Arial" w:hAnsi="Arial" w:cs="Arial"/>
        </w:rPr>
        <w:t>(en</w:t>
      </w:r>
      <w:r w:rsidR="00E22F75">
        <w:rPr>
          <w:rFonts w:ascii="Arial" w:hAnsi="Arial" w:cs="Arial"/>
        </w:rPr>
        <w:t> %</w:t>
      </w:r>
      <w:r w:rsidRPr="00DE26A0">
        <w:rPr>
          <w:rFonts w:ascii="Arial" w:hAnsi="Arial" w:cs="Arial"/>
        </w:rPr>
        <w:t>, en glissement annuel)</w:t>
      </w:r>
      <w:r w:rsidRPr="00DE26A0">
        <w:rPr>
          <w:rFonts w:ascii="Arial" w:hAnsi="Arial" w:cs="Arial"/>
          <w:b/>
        </w:rPr>
        <w:t xml:space="preserve"> de la promotion immobilière</w:t>
      </w:r>
      <w:r>
        <w:rPr>
          <w:rFonts w:ascii="Arial" w:hAnsi="Arial" w:cs="Arial"/>
          <w:b/>
        </w:rPr>
        <w:t xml:space="preserve"> </w:t>
      </w:r>
      <w:r w:rsidRPr="00ED7379">
        <w:rPr>
          <w:rFonts w:ascii="Arial" w:hAnsi="Arial" w:cs="Arial"/>
        </w:rPr>
        <w:t>(hors construction sur existant)</w:t>
      </w:r>
    </w:p>
    <w:tbl>
      <w:tblPr>
        <w:tblStyle w:val="Grilledutableau"/>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4275"/>
        <w:gridCol w:w="1191"/>
        <w:gridCol w:w="1192"/>
        <w:gridCol w:w="1192"/>
        <w:gridCol w:w="1192"/>
      </w:tblGrid>
      <w:tr w:rsidR="00E84D91" w:rsidRPr="00DE26A0" w14:paraId="5D6150D2" w14:textId="77777777" w:rsidTr="00CD40BA">
        <w:tc>
          <w:tcPr>
            <w:tcW w:w="4275" w:type="dxa"/>
            <w:tcBorders>
              <w:top w:val="single" w:sz="12" w:space="0" w:color="000000"/>
            </w:tcBorders>
          </w:tcPr>
          <w:p w14:paraId="01CC91F3" w14:textId="77777777" w:rsidR="00E84D91" w:rsidRPr="009E27FD" w:rsidRDefault="00E84D91" w:rsidP="00CD40BA">
            <w:pPr>
              <w:jc w:val="both"/>
              <w:rPr>
                <w:rFonts w:ascii="Arial" w:hAnsi="Arial" w:cs="Arial"/>
              </w:rPr>
            </w:pPr>
          </w:p>
        </w:tc>
        <w:tc>
          <w:tcPr>
            <w:tcW w:w="1191" w:type="dxa"/>
            <w:tcBorders>
              <w:top w:val="single" w:sz="12" w:space="0" w:color="000000"/>
              <w:right w:val="dashSmallGap" w:sz="4" w:space="0" w:color="000000"/>
            </w:tcBorders>
          </w:tcPr>
          <w:p w14:paraId="2007C61C" w14:textId="77777777" w:rsidR="00E84D91" w:rsidRPr="009E27FD" w:rsidRDefault="00E84D91" w:rsidP="00CD40BA">
            <w:pPr>
              <w:jc w:val="center"/>
              <w:rPr>
                <w:rFonts w:ascii="Arial" w:hAnsi="Arial" w:cs="Arial"/>
              </w:rPr>
            </w:pPr>
            <w:r w:rsidRPr="009E27FD">
              <w:rPr>
                <w:rFonts w:ascii="Arial" w:hAnsi="Arial" w:cs="Arial"/>
              </w:rPr>
              <w:t>Ventes</w:t>
            </w:r>
          </w:p>
        </w:tc>
        <w:tc>
          <w:tcPr>
            <w:tcW w:w="1192" w:type="dxa"/>
            <w:tcBorders>
              <w:top w:val="single" w:sz="12" w:space="0" w:color="000000"/>
              <w:left w:val="dashSmallGap" w:sz="4" w:space="0" w:color="000000"/>
              <w:right w:val="dashSmallGap" w:sz="4" w:space="0" w:color="000000"/>
            </w:tcBorders>
          </w:tcPr>
          <w:p w14:paraId="6547E7CE" w14:textId="77777777" w:rsidR="00E84D91" w:rsidRPr="009E27FD" w:rsidRDefault="00E84D91" w:rsidP="00CD40BA">
            <w:pPr>
              <w:jc w:val="center"/>
              <w:rPr>
                <w:rFonts w:ascii="Arial" w:hAnsi="Arial" w:cs="Arial"/>
                <w:i/>
              </w:rPr>
            </w:pPr>
            <w:r w:rsidRPr="009E27FD">
              <w:rPr>
                <w:rFonts w:ascii="Arial" w:hAnsi="Arial" w:cs="Arial"/>
                <w:i/>
              </w:rPr>
              <w:t>dont au détail</w:t>
            </w:r>
          </w:p>
        </w:tc>
        <w:tc>
          <w:tcPr>
            <w:tcW w:w="1192" w:type="dxa"/>
            <w:tcBorders>
              <w:top w:val="single" w:sz="12" w:space="0" w:color="000000"/>
              <w:left w:val="dashSmallGap" w:sz="4" w:space="0" w:color="000000"/>
            </w:tcBorders>
          </w:tcPr>
          <w:p w14:paraId="1294AD32" w14:textId="77777777" w:rsidR="00E84D91" w:rsidRPr="009E27FD" w:rsidRDefault="00E84D91" w:rsidP="00CD40BA">
            <w:pPr>
              <w:jc w:val="center"/>
              <w:rPr>
                <w:rFonts w:ascii="Arial" w:hAnsi="Arial" w:cs="Arial"/>
                <w:i/>
              </w:rPr>
            </w:pPr>
            <w:r w:rsidRPr="009E27FD">
              <w:rPr>
                <w:rFonts w:ascii="Arial" w:hAnsi="Arial" w:cs="Arial"/>
                <w:i/>
              </w:rPr>
              <w:t>dont en bloc</w:t>
            </w:r>
          </w:p>
        </w:tc>
        <w:tc>
          <w:tcPr>
            <w:tcW w:w="1192" w:type="dxa"/>
            <w:tcBorders>
              <w:top w:val="single" w:sz="12" w:space="0" w:color="000000"/>
            </w:tcBorders>
          </w:tcPr>
          <w:p w14:paraId="6CC50518" w14:textId="77777777" w:rsidR="00E84D91" w:rsidRPr="009E27FD" w:rsidRDefault="00E84D91" w:rsidP="00CD40BA">
            <w:pPr>
              <w:jc w:val="center"/>
              <w:rPr>
                <w:rFonts w:ascii="Arial" w:hAnsi="Arial" w:cs="Arial"/>
              </w:rPr>
            </w:pPr>
            <w:r w:rsidRPr="009E27FD">
              <w:rPr>
                <w:rFonts w:ascii="Arial" w:hAnsi="Arial" w:cs="Arial"/>
              </w:rPr>
              <w:t>Mises en vente</w:t>
            </w:r>
            <w:r>
              <w:rPr>
                <w:rStyle w:val="Appelnotedebasdep"/>
                <w:rFonts w:ascii="Arial" w:hAnsi="Arial" w:cs="Arial"/>
              </w:rPr>
              <w:footnoteReference w:id="3"/>
            </w:r>
          </w:p>
        </w:tc>
      </w:tr>
      <w:tr w:rsidR="00E84D91" w:rsidRPr="00DE26A0" w14:paraId="285C1744" w14:textId="77777777" w:rsidTr="00CD40BA">
        <w:tc>
          <w:tcPr>
            <w:tcW w:w="4275" w:type="dxa"/>
            <w:tcBorders>
              <w:top w:val="single" w:sz="2" w:space="0" w:color="000000"/>
              <w:bottom w:val="dashSmallGap" w:sz="4" w:space="0" w:color="000000"/>
            </w:tcBorders>
          </w:tcPr>
          <w:p w14:paraId="79665FBA" w14:textId="77777777" w:rsidR="00E84D91" w:rsidRPr="0038385D" w:rsidRDefault="00E84D91" w:rsidP="00CD40BA">
            <w:pPr>
              <w:jc w:val="both"/>
              <w:rPr>
                <w:rFonts w:ascii="Arial" w:hAnsi="Arial" w:cs="Arial"/>
              </w:rPr>
            </w:pPr>
            <w:r w:rsidRPr="0038385D">
              <w:rPr>
                <w:rFonts w:ascii="Arial" w:hAnsi="Arial" w:cs="Arial"/>
              </w:rPr>
              <w:t>Sur un trimestre (2024 T</w:t>
            </w:r>
            <w:r>
              <w:rPr>
                <w:rFonts w:ascii="Arial" w:hAnsi="Arial" w:cs="Arial"/>
              </w:rPr>
              <w:t>2</w:t>
            </w:r>
            <w:r w:rsidRPr="0038385D">
              <w:rPr>
                <w:rFonts w:ascii="Arial" w:hAnsi="Arial" w:cs="Arial"/>
              </w:rPr>
              <w:t xml:space="preserve"> / 2023 T</w:t>
            </w:r>
            <w:r>
              <w:rPr>
                <w:rFonts w:ascii="Arial" w:hAnsi="Arial" w:cs="Arial"/>
              </w:rPr>
              <w:t>2</w:t>
            </w:r>
            <w:r w:rsidRPr="0038385D">
              <w:rPr>
                <w:rFonts w:ascii="Arial" w:hAnsi="Arial" w:cs="Arial"/>
              </w:rPr>
              <w:t>)</w:t>
            </w:r>
          </w:p>
          <w:p w14:paraId="677361CC" w14:textId="77777777" w:rsidR="00E84D91" w:rsidRPr="0038385D" w:rsidRDefault="00E84D91" w:rsidP="00CD40BA">
            <w:pPr>
              <w:jc w:val="both"/>
              <w:rPr>
                <w:rFonts w:ascii="Arial" w:hAnsi="Arial" w:cs="Arial"/>
              </w:rPr>
            </w:pPr>
          </w:p>
        </w:tc>
        <w:tc>
          <w:tcPr>
            <w:tcW w:w="1191" w:type="dxa"/>
            <w:tcBorders>
              <w:top w:val="single" w:sz="2" w:space="0" w:color="000000"/>
              <w:bottom w:val="dashSmallGap" w:sz="4" w:space="0" w:color="000000"/>
              <w:right w:val="dashSmallGap" w:sz="4" w:space="0" w:color="000000"/>
            </w:tcBorders>
          </w:tcPr>
          <w:p w14:paraId="507BB96F" w14:textId="19413FC2" w:rsidR="00E84D91" w:rsidRPr="0038385D" w:rsidRDefault="00E84D91" w:rsidP="00CD40BA">
            <w:pPr>
              <w:jc w:val="center"/>
              <w:rPr>
                <w:rFonts w:ascii="Arial" w:hAnsi="Arial" w:cs="Arial"/>
              </w:rPr>
            </w:pPr>
            <w:r>
              <w:rPr>
                <w:rFonts w:ascii="Arial" w:hAnsi="Arial" w:cs="Arial"/>
              </w:rPr>
              <w:t>+5,0</w:t>
            </w:r>
            <w:r w:rsidR="00E22F75">
              <w:rPr>
                <w:rFonts w:ascii="Arial" w:hAnsi="Arial" w:cs="Arial"/>
              </w:rPr>
              <w:t> %</w:t>
            </w:r>
          </w:p>
        </w:tc>
        <w:tc>
          <w:tcPr>
            <w:tcW w:w="1192" w:type="dxa"/>
            <w:tcBorders>
              <w:top w:val="single" w:sz="2" w:space="0" w:color="000000"/>
              <w:left w:val="dashSmallGap" w:sz="4" w:space="0" w:color="000000"/>
              <w:bottom w:val="dashSmallGap" w:sz="4" w:space="0" w:color="000000"/>
              <w:right w:val="dashSmallGap" w:sz="4" w:space="0" w:color="000000"/>
            </w:tcBorders>
          </w:tcPr>
          <w:p w14:paraId="3585A780" w14:textId="2D9B8757" w:rsidR="00E84D91" w:rsidRPr="0038385D" w:rsidRDefault="00E84D91" w:rsidP="00CD40BA">
            <w:pPr>
              <w:jc w:val="center"/>
              <w:rPr>
                <w:rFonts w:ascii="Arial" w:hAnsi="Arial" w:cs="Arial"/>
                <w:i/>
              </w:rPr>
            </w:pPr>
            <w:r>
              <w:rPr>
                <w:rFonts w:ascii="Arial" w:hAnsi="Arial" w:cs="Arial"/>
                <w:i/>
              </w:rPr>
              <w:t>-14,2</w:t>
            </w:r>
            <w:r w:rsidR="00E22F75">
              <w:rPr>
                <w:rFonts w:ascii="Arial" w:hAnsi="Arial" w:cs="Arial"/>
                <w:i/>
              </w:rPr>
              <w:t> %</w:t>
            </w:r>
          </w:p>
        </w:tc>
        <w:tc>
          <w:tcPr>
            <w:tcW w:w="1192" w:type="dxa"/>
            <w:tcBorders>
              <w:top w:val="single" w:sz="2" w:space="0" w:color="000000"/>
              <w:left w:val="dashSmallGap" w:sz="4" w:space="0" w:color="000000"/>
              <w:bottom w:val="dashSmallGap" w:sz="4" w:space="0" w:color="000000"/>
            </w:tcBorders>
          </w:tcPr>
          <w:p w14:paraId="63779A9C" w14:textId="233C3CE7" w:rsidR="00E84D91" w:rsidRPr="0038385D" w:rsidRDefault="00E84D91" w:rsidP="00CD40BA">
            <w:pPr>
              <w:jc w:val="center"/>
              <w:rPr>
                <w:rFonts w:ascii="Arial" w:hAnsi="Arial" w:cs="Arial"/>
                <w:i/>
              </w:rPr>
            </w:pPr>
            <w:r>
              <w:rPr>
                <w:rFonts w:ascii="Arial" w:hAnsi="Arial" w:cs="Arial"/>
                <w:i/>
              </w:rPr>
              <w:t>+42,6</w:t>
            </w:r>
            <w:r w:rsidR="00E22F75">
              <w:rPr>
                <w:rFonts w:ascii="Arial" w:hAnsi="Arial" w:cs="Arial"/>
                <w:i/>
              </w:rPr>
              <w:t> %</w:t>
            </w:r>
          </w:p>
        </w:tc>
        <w:tc>
          <w:tcPr>
            <w:tcW w:w="1192" w:type="dxa"/>
            <w:tcBorders>
              <w:top w:val="single" w:sz="2" w:space="0" w:color="000000"/>
              <w:bottom w:val="dashSmallGap" w:sz="4" w:space="0" w:color="000000"/>
            </w:tcBorders>
          </w:tcPr>
          <w:p w14:paraId="7E734CF4" w14:textId="6A4AE1F2" w:rsidR="00E84D91" w:rsidRPr="0038385D" w:rsidRDefault="00E84D91" w:rsidP="00CD40BA">
            <w:pPr>
              <w:jc w:val="center"/>
              <w:rPr>
                <w:rFonts w:ascii="Arial" w:hAnsi="Arial" w:cs="Arial"/>
              </w:rPr>
            </w:pPr>
            <w:r>
              <w:rPr>
                <w:rFonts w:ascii="Arial" w:hAnsi="Arial" w:cs="Arial"/>
              </w:rPr>
              <w:t>-38,8</w:t>
            </w:r>
            <w:r w:rsidR="00E22F75">
              <w:rPr>
                <w:rFonts w:ascii="Arial" w:hAnsi="Arial" w:cs="Arial"/>
              </w:rPr>
              <w:t> %</w:t>
            </w:r>
          </w:p>
        </w:tc>
      </w:tr>
      <w:tr w:rsidR="00E84D91" w:rsidRPr="00DE26A0" w14:paraId="45275FFC" w14:textId="77777777" w:rsidTr="00CD40BA">
        <w:tc>
          <w:tcPr>
            <w:tcW w:w="4275" w:type="dxa"/>
            <w:tcBorders>
              <w:top w:val="dashSmallGap" w:sz="4" w:space="0" w:color="000000"/>
              <w:bottom w:val="single" w:sz="12" w:space="0" w:color="000000"/>
            </w:tcBorders>
          </w:tcPr>
          <w:p w14:paraId="6FF55175" w14:textId="77777777" w:rsidR="00E84D91" w:rsidRPr="0038385D" w:rsidRDefault="00E84D91" w:rsidP="00CD40BA">
            <w:pPr>
              <w:jc w:val="both"/>
              <w:rPr>
                <w:rFonts w:ascii="Arial" w:hAnsi="Arial" w:cs="Arial"/>
                <w:b/>
                <w:bCs/>
              </w:rPr>
            </w:pPr>
            <w:r w:rsidRPr="0038385D">
              <w:rPr>
                <w:rFonts w:ascii="Arial" w:hAnsi="Arial" w:cs="Arial"/>
                <w:b/>
                <w:bCs/>
              </w:rPr>
              <w:t>Sur deux trimestres (202</w:t>
            </w:r>
            <w:r>
              <w:rPr>
                <w:rFonts w:ascii="Arial" w:hAnsi="Arial" w:cs="Arial"/>
                <w:b/>
                <w:bCs/>
              </w:rPr>
              <w:t>4</w:t>
            </w:r>
            <w:r w:rsidRPr="0038385D">
              <w:rPr>
                <w:rFonts w:ascii="Arial" w:hAnsi="Arial" w:cs="Arial"/>
                <w:b/>
                <w:bCs/>
              </w:rPr>
              <w:t xml:space="preserve"> T</w:t>
            </w:r>
            <w:r>
              <w:rPr>
                <w:rFonts w:ascii="Arial" w:hAnsi="Arial" w:cs="Arial"/>
                <w:b/>
                <w:bCs/>
              </w:rPr>
              <w:t>1</w:t>
            </w:r>
            <w:r w:rsidRPr="0038385D">
              <w:rPr>
                <w:rFonts w:ascii="Arial" w:hAnsi="Arial" w:cs="Arial"/>
                <w:b/>
                <w:bCs/>
              </w:rPr>
              <w:t xml:space="preserve"> → 2024 T</w:t>
            </w:r>
            <w:r>
              <w:rPr>
                <w:rFonts w:ascii="Arial" w:hAnsi="Arial" w:cs="Arial"/>
                <w:b/>
                <w:bCs/>
              </w:rPr>
              <w:t>2</w:t>
            </w:r>
            <w:r w:rsidRPr="0038385D">
              <w:rPr>
                <w:rFonts w:ascii="Arial" w:hAnsi="Arial" w:cs="Arial"/>
                <w:b/>
                <w:bCs/>
              </w:rPr>
              <w:t xml:space="preserve"> / 202</w:t>
            </w:r>
            <w:r>
              <w:rPr>
                <w:rFonts w:ascii="Arial" w:hAnsi="Arial" w:cs="Arial"/>
                <w:b/>
                <w:bCs/>
              </w:rPr>
              <w:t>3</w:t>
            </w:r>
            <w:r w:rsidRPr="0038385D">
              <w:rPr>
                <w:rFonts w:ascii="Arial" w:hAnsi="Arial" w:cs="Arial"/>
                <w:b/>
                <w:bCs/>
              </w:rPr>
              <w:t xml:space="preserve"> T</w:t>
            </w:r>
            <w:r>
              <w:rPr>
                <w:rFonts w:ascii="Arial" w:hAnsi="Arial" w:cs="Arial"/>
                <w:b/>
                <w:bCs/>
              </w:rPr>
              <w:t>1</w:t>
            </w:r>
            <w:r w:rsidRPr="0038385D">
              <w:rPr>
                <w:rFonts w:ascii="Arial" w:hAnsi="Arial" w:cs="Arial"/>
                <w:b/>
                <w:bCs/>
              </w:rPr>
              <w:t xml:space="preserve"> → 2023 T</w:t>
            </w:r>
            <w:r>
              <w:rPr>
                <w:rFonts w:ascii="Arial" w:hAnsi="Arial" w:cs="Arial"/>
                <w:b/>
                <w:bCs/>
              </w:rPr>
              <w:t>2</w:t>
            </w:r>
            <w:r w:rsidRPr="0038385D">
              <w:rPr>
                <w:rFonts w:ascii="Arial" w:hAnsi="Arial" w:cs="Arial"/>
                <w:b/>
                <w:bCs/>
              </w:rPr>
              <w:t>)</w:t>
            </w:r>
          </w:p>
        </w:tc>
        <w:tc>
          <w:tcPr>
            <w:tcW w:w="1191" w:type="dxa"/>
            <w:tcBorders>
              <w:top w:val="dashSmallGap" w:sz="4" w:space="0" w:color="000000"/>
              <w:bottom w:val="single" w:sz="12" w:space="0" w:color="000000"/>
              <w:right w:val="dashSmallGap" w:sz="4" w:space="0" w:color="000000"/>
            </w:tcBorders>
          </w:tcPr>
          <w:p w14:paraId="3142F9D4" w14:textId="6373218F" w:rsidR="00E84D91" w:rsidRPr="0038385D" w:rsidRDefault="00E84D91" w:rsidP="00CD40BA">
            <w:pPr>
              <w:jc w:val="center"/>
              <w:rPr>
                <w:rFonts w:ascii="Arial" w:hAnsi="Arial" w:cs="Arial"/>
                <w:b/>
                <w:bCs/>
              </w:rPr>
            </w:pPr>
            <w:r>
              <w:rPr>
                <w:rFonts w:ascii="Arial" w:hAnsi="Arial" w:cs="Arial"/>
                <w:b/>
                <w:bCs/>
              </w:rPr>
              <w:t>-0,9</w:t>
            </w:r>
            <w:r w:rsidR="00E22F75">
              <w:rPr>
                <w:rFonts w:ascii="Arial" w:hAnsi="Arial" w:cs="Arial"/>
                <w:b/>
                <w:bCs/>
              </w:rPr>
              <w:t> %</w:t>
            </w:r>
          </w:p>
        </w:tc>
        <w:tc>
          <w:tcPr>
            <w:tcW w:w="1192" w:type="dxa"/>
            <w:tcBorders>
              <w:top w:val="dashSmallGap" w:sz="4" w:space="0" w:color="000000"/>
              <w:left w:val="dashSmallGap" w:sz="4" w:space="0" w:color="000000"/>
              <w:bottom w:val="single" w:sz="12" w:space="0" w:color="000000"/>
              <w:right w:val="dashSmallGap" w:sz="4" w:space="0" w:color="000000"/>
            </w:tcBorders>
          </w:tcPr>
          <w:p w14:paraId="71770B76" w14:textId="41E7BFAD" w:rsidR="00E84D91" w:rsidRPr="0038385D" w:rsidRDefault="00E84D91" w:rsidP="00CD40BA">
            <w:pPr>
              <w:jc w:val="center"/>
              <w:rPr>
                <w:rFonts w:ascii="Arial" w:hAnsi="Arial" w:cs="Arial"/>
                <w:b/>
                <w:bCs/>
                <w:i/>
              </w:rPr>
            </w:pPr>
            <w:r>
              <w:rPr>
                <w:rFonts w:ascii="Arial" w:hAnsi="Arial" w:cs="Arial"/>
                <w:b/>
                <w:bCs/>
                <w:i/>
              </w:rPr>
              <w:t>-19,2</w:t>
            </w:r>
            <w:r w:rsidR="00E22F75">
              <w:rPr>
                <w:rFonts w:ascii="Arial" w:hAnsi="Arial" w:cs="Arial"/>
                <w:b/>
                <w:bCs/>
                <w:i/>
              </w:rPr>
              <w:t> %</w:t>
            </w:r>
          </w:p>
        </w:tc>
        <w:tc>
          <w:tcPr>
            <w:tcW w:w="1192" w:type="dxa"/>
            <w:tcBorders>
              <w:top w:val="dashSmallGap" w:sz="4" w:space="0" w:color="000000"/>
              <w:left w:val="dashSmallGap" w:sz="4" w:space="0" w:color="000000"/>
              <w:bottom w:val="single" w:sz="12" w:space="0" w:color="000000"/>
            </w:tcBorders>
          </w:tcPr>
          <w:p w14:paraId="7EFF98B6" w14:textId="0EECF564" w:rsidR="00E84D91" w:rsidRPr="0038385D" w:rsidRDefault="00E84D91" w:rsidP="00CD40BA">
            <w:pPr>
              <w:jc w:val="center"/>
              <w:rPr>
                <w:rFonts w:ascii="Arial" w:hAnsi="Arial" w:cs="Arial"/>
                <w:b/>
                <w:bCs/>
                <w:i/>
              </w:rPr>
            </w:pPr>
            <w:r>
              <w:rPr>
                <w:rFonts w:ascii="Arial" w:hAnsi="Arial" w:cs="Arial"/>
                <w:b/>
                <w:bCs/>
                <w:i/>
              </w:rPr>
              <w:t>+42,5</w:t>
            </w:r>
            <w:r w:rsidR="00E22F75">
              <w:rPr>
                <w:rFonts w:ascii="Arial" w:hAnsi="Arial" w:cs="Arial"/>
                <w:b/>
                <w:bCs/>
                <w:i/>
              </w:rPr>
              <w:t> %</w:t>
            </w:r>
          </w:p>
        </w:tc>
        <w:tc>
          <w:tcPr>
            <w:tcW w:w="1192" w:type="dxa"/>
            <w:tcBorders>
              <w:top w:val="dashSmallGap" w:sz="4" w:space="0" w:color="000000"/>
              <w:bottom w:val="single" w:sz="12" w:space="0" w:color="000000"/>
            </w:tcBorders>
          </w:tcPr>
          <w:p w14:paraId="2E927F38" w14:textId="0751FBC8" w:rsidR="00E84D91" w:rsidRPr="0038385D" w:rsidRDefault="00E84D91" w:rsidP="00CD40BA">
            <w:pPr>
              <w:jc w:val="center"/>
              <w:rPr>
                <w:rFonts w:ascii="Arial" w:hAnsi="Arial" w:cs="Arial"/>
                <w:b/>
                <w:bCs/>
              </w:rPr>
            </w:pPr>
            <w:r>
              <w:rPr>
                <w:rFonts w:ascii="Arial" w:hAnsi="Arial" w:cs="Arial"/>
                <w:b/>
                <w:bCs/>
              </w:rPr>
              <w:t>-39,9</w:t>
            </w:r>
            <w:r w:rsidR="00E22F75">
              <w:rPr>
                <w:rFonts w:ascii="Arial" w:hAnsi="Arial" w:cs="Arial"/>
                <w:b/>
                <w:bCs/>
              </w:rPr>
              <w:t> %</w:t>
            </w:r>
          </w:p>
        </w:tc>
      </w:tr>
      <w:tr w:rsidR="00E84D91" w:rsidRPr="00DE26A0" w14:paraId="2BC0B35E" w14:textId="77777777" w:rsidTr="00CD40BA">
        <w:tc>
          <w:tcPr>
            <w:tcW w:w="4275" w:type="dxa"/>
            <w:tcBorders>
              <w:top w:val="dashSmallGap" w:sz="4" w:space="0" w:color="000000"/>
              <w:bottom w:val="single" w:sz="12" w:space="0" w:color="000000"/>
            </w:tcBorders>
          </w:tcPr>
          <w:p w14:paraId="129A1BD2" w14:textId="77777777" w:rsidR="00E84D91" w:rsidRPr="009514AE" w:rsidRDefault="00E84D91" w:rsidP="00CD40BA">
            <w:pPr>
              <w:jc w:val="both"/>
              <w:rPr>
                <w:rFonts w:ascii="Arial" w:hAnsi="Arial" w:cs="Arial"/>
              </w:rPr>
            </w:pPr>
            <w:r w:rsidRPr="009514AE">
              <w:rPr>
                <w:rFonts w:ascii="Arial" w:hAnsi="Arial" w:cs="Arial"/>
              </w:rPr>
              <w:t>Sur trois trimestres (2023 T</w:t>
            </w:r>
            <w:r>
              <w:rPr>
                <w:rFonts w:ascii="Arial" w:hAnsi="Arial" w:cs="Arial"/>
              </w:rPr>
              <w:t>4</w:t>
            </w:r>
            <w:r w:rsidRPr="009514AE">
              <w:rPr>
                <w:rFonts w:ascii="Arial" w:hAnsi="Arial" w:cs="Arial"/>
              </w:rPr>
              <w:t xml:space="preserve"> → 202</w:t>
            </w:r>
            <w:r>
              <w:rPr>
                <w:rFonts w:ascii="Arial" w:hAnsi="Arial" w:cs="Arial"/>
              </w:rPr>
              <w:t>4</w:t>
            </w:r>
            <w:r w:rsidRPr="009514AE">
              <w:rPr>
                <w:rFonts w:ascii="Arial" w:hAnsi="Arial" w:cs="Arial"/>
              </w:rPr>
              <w:t xml:space="preserve"> T</w:t>
            </w:r>
            <w:r>
              <w:rPr>
                <w:rFonts w:ascii="Arial" w:hAnsi="Arial" w:cs="Arial"/>
              </w:rPr>
              <w:t>2</w:t>
            </w:r>
            <w:r w:rsidRPr="009514AE">
              <w:rPr>
                <w:rFonts w:ascii="Arial" w:hAnsi="Arial" w:cs="Arial"/>
              </w:rPr>
              <w:t xml:space="preserve"> / 2022 T</w:t>
            </w:r>
            <w:r>
              <w:rPr>
                <w:rFonts w:ascii="Arial" w:hAnsi="Arial" w:cs="Arial"/>
              </w:rPr>
              <w:t>4</w:t>
            </w:r>
            <w:r w:rsidRPr="009514AE">
              <w:rPr>
                <w:rFonts w:ascii="Arial" w:hAnsi="Arial" w:cs="Arial"/>
              </w:rPr>
              <w:t xml:space="preserve"> → 202</w:t>
            </w:r>
            <w:r>
              <w:rPr>
                <w:rFonts w:ascii="Arial" w:hAnsi="Arial" w:cs="Arial"/>
              </w:rPr>
              <w:t>3</w:t>
            </w:r>
            <w:r w:rsidRPr="009514AE">
              <w:rPr>
                <w:rFonts w:ascii="Arial" w:hAnsi="Arial" w:cs="Arial"/>
              </w:rPr>
              <w:t xml:space="preserve"> T</w:t>
            </w:r>
            <w:r>
              <w:rPr>
                <w:rFonts w:ascii="Arial" w:hAnsi="Arial" w:cs="Arial"/>
              </w:rPr>
              <w:t>2</w:t>
            </w:r>
            <w:r w:rsidRPr="009514AE">
              <w:rPr>
                <w:rFonts w:ascii="Arial" w:hAnsi="Arial" w:cs="Arial"/>
              </w:rPr>
              <w:t>)</w:t>
            </w:r>
          </w:p>
        </w:tc>
        <w:tc>
          <w:tcPr>
            <w:tcW w:w="1191" w:type="dxa"/>
            <w:tcBorders>
              <w:top w:val="dashSmallGap" w:sz="4" w:space="0" w:color="000000"/>
              <w:bottom w:val="single" w:sz="12" w:space="0" w:color="000000"/>
              <w:right w:val="dashSmallGap" w:sz="4" w:space="0" w:color="000000"/>
            </w:tcBorders>
          </w:tcPr>
          <w:p w14:paraId="3D29EF87" w14:textId="5C8A9935" w:rsidR="00E84D91" w:rsidRPr="009514AE" w:rsidRDefault="00E84D91" w:rsidP="00CD40BA">
            <w:pPr>
              <w:jc w:val="center"/>
              <w:rPr>
                <w:rFonts w:ascii="Arial" w:hAnsi="Arial" w:cs="Arial"/>
              </w:rPr>
            </w:pPr>
            <w:r>
              <w:rPr>
                <w:rFonts w:ascii="Arial" w:hAnsi="Arial" w:cs="Arial"/>
              </w:rPr>
              <w:t>-6,1</w:t>
            </w:r>
            <w:r w:rsidR="00E22F75">
              <w:rPr>
                <w:rFonts w:ascii="Arial" w:hAnsi="Arial" w:cs="Arial"/>
              </w:rPr>
              <w:t> %</w:t>
            </w:r>
          </w:p>
        </w:tc>
        <w:tc>
          <w:tcPr>
            <w:tcW w:w="1192" w:type="dxa"/>
            <w:tcBorders>
              <w:top w:val="dashSmallGap" w:sz="4" w:space="0" w:color="000000"/>
              <w:left w:val="dashSmallGap" w:sz="4" w:space="0" w:color="000000"/>
              <w:bottom w:val="single" w:sz="12" w:space="0" w:color="000000"/>
              <w:right w:val="dashSmallGap" w:sz="4" w:space="0" w:color="000000"/>
            </w:tcBorders>
          </w:tcPr>
          <w:p w14:paraId="0CD6D647" w14:textId="2DC32525" w:rsidR="00E84D91" w:rsidRPr="009514AE" w:rsidRDefault="00E84D91" w:rsidP="00CD40BA">
            <w:pPr>
              <w:jc w:val="center"/>
              <w:rPr>
                <w:rFonts w:ascii="Arial" w:hAnsi="Arial" w:cs="Arial"/>
                <w:i/>
              </w:rPr>
            </w:pPr>
            <w:r>
              <w:rPr>
                <w:rFonts w:ascii="Arial" w:hAnsi="Arial" w:cs="Arial"/>
                <w:i/>
              </w:rPr>
              <w:t>-23,7</w:t>
            </w:r>
            <w:r w:rsidR="00E22F75">
              <w:rPr>
                <w:rFonts w:ascii="Arial" w:hAnsi="Arial" w:cs="Arial"/>
                <w:i/>
              </w:rPr>
              <w:t> %</w:t>
            </w:r>
          </w:p>
        </w:tc>
        <w:tc>
          <w:tcPr>
            <w:tcW w:w="1192" w:type="dxa"/>
            <w:tcBorders>
              <w:top w:val="dashSmallGap" w:sz="4" w:space="0" w:color="000000"/>
              <w:left w:val="dashSmallGap" w:sz="4" w:space="0" w:color="000000"/>
              <w:bottom w:val="single" w:sz="12" w:space="0" w:color="000000"/>
            </w:tcBorders>
          </w:tcPr>
          <w:p w14:paraId="28E7192B" w14:textId="47981677" w:rsidR="00E84D91" w:rsidRPr="009514AE" w:rsidRDefault="00E84D91" w:rsidP="00CD40BA">
            <w:pPr>
              <w:jc w:val="center"/>
              <w:rPr>
                <w:rFonts w:ascii="Arial" w:hAnsi="Arial" w:cs="Arial"/>
                <w:i/>
              </w:rPr>
            </w:pPr>
            <w:r>
              <w:rPr>
                <w:rFonts w:ascii="Arial" w:hAnsi="Arial" w:cs="Arial"/>
                <w:i/>
              </w:rPr>
              <w:t>+21,0</w:t>
            </w:r>
            <w:r w:rsidR="00E22F75">
              <w:rPr>
                <w:rFonts w:ascii="Arial" w:hAnsi="Arial" w:cs="Arial"/>
                <w:i/>
              </w:rPr>
              <w:t> %</w:t>
            </w:r>
          </w:p>
        </w:tc>
        <w:tc>
          <w:tcPr>
            <w:tcW w:w="1192" w:type="dxa"/>
            <w:tcBorders>
              <w:top w:val="dashSmallGap" w:sz="4" w:space="0" w:color="000000"/>
              <w:bottom w:val="single" w:sz="12" w:space="0" w:color="000000"/>
            </w:tcBorders>
          </w:tcPr>
          <w:p w14:paraId="44BD4303" w14:textId="6CF5D047" w:rsidR="00E84D91" w:rsidRPr="009514AE" w:rsidRDefault="00E84D91" w:rsidP="00CD40BA">
            <w:pPr>
              <w:jc w:val="center"/>
              <w:rPr>
                <w:rFonts w:ascii="Arial" w:hAnsi="Arial" w:cs="Arial"/>
              </w:rPr>
            </w:pPr>
            <w:r>
              <w:rPr>
                <w:rFonts w:ascii="Arial" w:hAnsi="Arial" w:cs="Arial"/>
              </w:rPr>
              <w:t>-42,7</w:t>
            </w:r>
            <w:r w:rsidR="00E22F75">
              <w:rPr>
                <w:rFonts w:ascii="Arial" w:hAnsi="Arial" w:cs="Arial"/>
              </w:rPr>
              <w:t> %</w:t>
            </w:r>
          </w:p>
        </w:tc>
      </w:tr>
      <w:tr w:rsidR="00E84D91" w:rsidRPr="00DE26A0" w14:paraId="542D0A4E" w14:textId="77777777" w:rsidTr="00CD40BA">
        <w:tc>
          <w:tcPr>
            <w:tcW w:w="4275" w:type="dxa"/>
            <w:tcBorders>
              <w:top w:val="dashSmallGap" w:sz="4" w:space="0" w:color="000000"/>
              <w:bottom w:val="single" w:sz="12" w:space="0" w:color="000000"/>
            </w:tcBorders>
          </w:tcPr>
          <w:p w14:paraId="1AADD87F" w14:textId="77777777" w:rsidR="00E84D91" w:rsidRPr="00685490" w:rsidRDefault="00E84D91" w:rsidP="00CD40BA">
            <w:pPr>
              <w:jc w:val="both"/>
              <w:rPr>
                <w:rFonts w:ascii="Arial" w:hAnsi="Arial" w:cs="Arial"/>
              </w:rPr>
            </w:pPr>
            <w:r w:rsidRPr="00685490">
              <w:rPr>
                <w:rFonts w:ascii="Arial" w:hAnsi="Arial" w:cs="Arial"/>
              </w:rPr>
              <w:t>Sur quatre trimestres (2023 T</w:t>
            </w:r>
            <w:r>
              <w:rPr>
                <w:rFonts w:ascii="Arial" w:hAnsi="Arial" w:cs="Arial"/>
              </w:rPr>
              <w:t>3</w:t>
            </w:r>
            <w:r w:rsidRPr="00685490">
              <w:rPr>
                <w:rFonts w:ascii="Arial" w:hAnsi="Arial" w:cs="Arial"/>
              </w:rPr>
              <w:t xml:space="preserve"> → 202</w:t>
            </w:r>
            <w:r>
              <w:rPr>
                <w:rFonts w:ascii="Arial" w:hAnsi="Arial" w:cs="Arial"/>
              </w:rPr>
              <w:t>4</w:t>
            </w:r>
            <w:r w:rsidRPr="00685490">
              <w:rPr>
                <w:rFonts w:ascii="Arial" w:hAnsi="Arial" w:cs="Arial"/>
              </w:rPr>
              <w:t xml:space="preserve"> T</w:t>
            </w:r>
            <w:r>
              <w:rPr>
                <w:rFonts w:ascii="Arial" w:hAnsi="Arial" w:cs="Arial"/>
              </w:rPr>
              <w:t>2</w:t>
            </w:r>
            <w:r w:rsidRPr="00685490">
              <w:rPr>
                <w:rFonts w:ascii="Arial" w:hAnsi="Arial" w:cs="Arial"/>
              </w:rPr>
              <w:t xml:space="preserve"> / 2022 T</w:t>
            </w:r>
            <w:r>
              <w:rPr>
                <w:rFonts w:ascii="Arial" w:hAnsi="Arial" w:cs="Arial"/>
              </w:rPr>
              <w:t>3</w:t>
            </w:r>
            <w:r w:rsidRPr="00685490">
              <w:rPr>
                <w:rFonts w:ascii="Arial" w:hAnsi="Arial" w:cs="Arial"/>
              </w:rPr>
              <w:t xml:space="preserve"> → 202</w:t>
            </w:r>
            <w:r>
              <w:rPr>
                <w:rFonts w:ascii="Arial" w:hAnsi="Arial" w:cs="Arial"/>
              </w:rPr>
              <w:t>3</w:t>
            </w:r>
            <w:r w:rsidRPr="00685490">
              <w:rPr>
                <w:rFonts w:ascii="Arial" w:hAnsi="Arial" w:cs="Arial"/>
              </w:rPr>
              <w:t xml:space="preserve"> T</w:t>
            </w:r>
            <w:r>
              <w:rPr>
                <w:rFonts w:ascii="Arial" w:hAnsi="Arial" w:cs="Arial"/>
              </w:rPr>
              <w:t>2</w:t>
            </w:r>
            <w:r w:rsidRPr="00685490">
              <w:rPr>
                <w:rFonts w:ascii="Arial" w:hAnsi="Arial" w:cs="Arial"/>
              </w:rPr>
              <w:t>)</w:t>
            </w:r>
          </w:p>
        </w:tc>
        <w:tc>
          <w:tcPr>
            <w:tcW w:w="1191" w:type="dxa"/>
            <w:tcBorders>
              <w:top w:val="dashSmallGap" w:sz="4" w:space="0" w:color="000000"/>
              <w:bottom w:val="single" w:sz="12" w:space="0" w:color="000000"/>
              <w:right w:val="dashSmallGap" w:sz="4" w:space="0" w:color="000000"/>
            </w:tcBorders>
          </w:tcPr>
          <w:p w14:paraId="1A572E38" w14:textId="2836014E" w:rsidR="00E84D91" w:rsidRPr="00685490" w:rsidRDefault="00E84D91" w:rsidP="00CD40BA">
            <w:pPr>
              <w:jc w:val="center"/>
              <w:rPr>
                <w:rFonts w:ascii="Arial" w:hAnsi="Arial" w:cs="Arial"/>
              </w:rPr>
            </w:pPr>
            <w:r>
              <w:rPr>
                <w:rFonts w:ascii="Arial" w:hAnsi="Arial" w:cs="Arial"/>
              </w:rPr>
              <w:t>-9,2</w:t>
            </w:r>
            <w:r w:rsidR="00E22F75">
              <w:rPr>
                <w:rFonts w:ascii="Arial" w:hAnsi="Arial" w:cs="Arial"/>
              </w:rPr>
              <w:t> %</w:t>
            </w:r>
          </w:p>
        </w:tc>
        <w:tc>
          <w:tcPr>
            <w:tcW w:w="1192" w:type="dxa"/>
            <w:tcBorders>
              <w:top w:val="dashSmallGap" w:sz="4" w:space="0" w:color="000000"/>
              <w:left w:val="dashSmallGap" w:sz="4" w:space="0" w:color="000000"/>
              <w:bottom w:val="single" w:sz="12" w:space="0" w:color="000000"/>
              <w:right w:val="dashSmallGap" w:sz="4" w:space="0" w:color="000000"/>
            </w:tcBorders>
          </w:tcPr>
          <w:p w14:paraId="1D94E905" w14:textId="4583F334" w:rsidR="00E84D91" w:rsidRPr="00685490" w:rsidRDefault="00E84D91" w:rsidP="00CD40BA">
            <w:pPr>
              <w:jc w:val="center"/>
              <w:rPr>
                <w:rFonts w:ascii="Arial" w:hAnsi="Arial" w:cs="Arial"/>
                <w:i/>
              </w:rPr>
            </w:pPr>
            <w:r>
              <w:rPr>
                <w:rFonts w:ascii="Arial" w:hAnsi="Arial" w:cs="Arial"/>
                <w:i/>
              </w:rPr>
              <w:t>-27,6</w:t>
            </w:r>
            <w:r w:rsidR="00E22F75">
              <w:rPr>
                <w:rFonts w:ascii="Arial" w:hAnsi="Arial" w:cs="Arial"/>
                <w:i/>
              </w:rPr>
              <w:t> %</w:t>
            </w:r>
          </w:p>
        </w:tc>
        <w:tc>
          <w:tcPr>
            <w:tcW w:w="1192" w:type="dxa"/>
            <w:tcBorders>
              <w:top w:val="dashSmallGap" w:sz="4" w:space="0" w:color="000000"/>
              <w:left w:val="dashSmallGap" w:sz="4" w:space="0" w:color="000000"/>
              <w:bottom w:val="single" w:sz="12" w:space="0" w:color="000000"/>
            </w:tcBorders>
          </w:tcPr>
          <w:p w14:paraId="74BC3403" w14:textId="4E715190" w:rsidR="00E84D91" w:rsidRPr="00685490" w:rsidRDefault="00E84D91" w:rsidP="00CD40BA">
            <w:pPr>
              <w:jc w:val="center"/>
              <w:rPr>
                <w:rFonts w:ascii="Arial" w:hAnsi="Arial" w:cs="Arial"/>
                <w:i/>
              </w:rPr>
            </w:pPr>
            <w:r>
              <w:rPr>
                <w:rFonts w:ascii="Arial" w:hAnsi="Arial" w:cs="Arial"/>
                <w:i/>
              </w:rPr>
              <w:t>+22,0</w:t>
            </w:r>
            <w:r w:rsidR="00E22F75">
              <w:rPr>
                <w:rFonts w:ascii="Arial" w:hAnsi="Arial" w:cs="Arial"/>
                <w:i/>
              </w:rPr>
              <w:t> %</w:t>
            </w:r>
          </w:p>
        </w:tc>
        <w:tc>
          <w:tcPr>
            <w:tcW w:w="1192" w:type="dxa"/>
            <w:tcBorders>
              <w:top w:val="dashSmallGap" w:sz="4" w:space="0" w:color="000000"/>
              <w:bottom w:val="single" w:sz="12" w:space="0" w:color="000000"/>
            </w:tcBorders>
          </w:tcPr>
          <w:p w14:paraId="73245711" w14:textId="40890608" w:rsidR="00E84D91" w:rsidRPr="00685490" w:rsidRDefault="00E84D91" w:rsidP="00CD40BA">
            <w:pPr>
              <w:jc w:val="center"/>
              <w:rPr>
                <w:rFonts w:ascii="Arial" w:hAnsi="Arial" w:cs="Arial"/>
              </w:rPr>
            </w:pPr>
            <w:r>
              <w:rPr>
                <w:rFonts w:ascii="Arial" w:hAnsi="Arial" w:cs="Arial"/>
              </w:rPr>
              <w:t>-40,4</w:t>
            </w:r>
            <w:r w:rsidR="00E22F75">
              <w:rPr>
                <w:rFonts w:ascii="Arial" w:hAnsi="Arial" w:cs="Arial"/>
              </w:rPr>
              <w:t> %</w:t>
            </w:r>
          </w:p>
        </w:tc>
      </w:tr>
    </w:tbl>
    <w:p w14:paraId="5EF13829" w14:textId="77777777" w:rsidR="00E84D91" w:rsidRPr="00DE26A0" w:rsidRDefault="00E84D91" w:rsidP="00E84D91">
      <w:pPr>
        <w:spacing w:after="120" w:line="360" w:lineRule="auto"/>
        <w:ind w:left="851" w:hanging="851"/>
        <w:jc w:val="center"/>
        <w:rPr>
          <w:rFonts w:ascii="Arial" w:hAnsi="Arial" w:cs="Arial"/>
          <w:i/>
          <w:sz w:val="20"/>
          <w:szCs w:val="20"/>
        </w:rPr>
      </w:pPr>
      <w:r w:rsidRPr="00DE26A0">
        <w:rPr>
          <w:rFonts w:ascii="Arial" w:hAnsi="Arial" w:cs="Arial"/>
          <w:i/>
          <w:sz w:val="20"/>
          <w:szCs w:val="20"/>
        </w:rPr>
        <w:t>Source :</w:t>
      </w:r>
      <w:r>
        <w:rPr>
          <w:rFonts w:ascii="Arial" w:hAnsi="Arial" w:cs="Arial"/>
          <w:i/>
          <w:sz w:val="20"/>
          <w:szCs w:val="20"/>
        </w:rPr>
        <w:t xml:space="preserve"> </w:t>
      </w:r>
      <w:r w:rsidRPr="00233A34">
        <w:rPr>
          <w:rFonts w:ascii="Arial" w:hAnsi="Arial" w:cs="Arial"/>
          <w:i/>
          <w:sz w:val="20"/>
          <w:szCs w:val="20"/>
        </w:rPr>
        <w:t>MT</w:t>
      </w:r>
      <w:r>
        <w:rPr>
          <w:rFonts w:ascii="Arial" w:hAnsi="Arial" w:cs="Arial"/>
          <w:i/>
          <w:sz w:val="20"/>
          <w:szCs w:val="20"/>
        </w:rPr>
        <w:t>ECT/CGDD/</w:t>
      </w:r>
      <w:r w:rsidRPr="00233A34">
        <w:rPr>
          <w:rFonts w:ascii="Arial" w:hAnsi="Arial" w:cs="Arial"/>
          <w:i/>
          <w:sz w:val="20"/>
          <w:szCs w:val="20"/>
        </w:rPr>
        <w:t>SDES</w:t>
      </w:r>
      <w:r w:rsidRPr="00DE26A0">
        <w:rPr>
          <w:rFonts w:ascii="Arial" w:hAnsi="Arial" w:cs="Arial"/>
          <w:i/>
          <w:sz w:val="20"/>
          <w:szCs w:val="20"/>
        </w:rPr>
        <w:t>, E</w:t>
      </w:r>
      <w:r>
        <w:rPr>
          <w:rFonts w:ascii="Arial" w:hAnsi="Arial" w:cs="Arial"/>
          <w:i/>
          <w:sz w:val="20"/>
          <w:szCs w:val="20"/>
        </w:rPr>
        <w:t>nquête sur la commercialisation des logement neufs (E</w:t>
      </w:r>
      <w:r w:rsidRPr="00DE26A0">
        <w:rPr>
          <w:rFonts w:ascii="Arial" w:hAnsi="Arial" w:cs="Arial"/>
          <w:i/>
          <w:sz w:val="20"/>
          <w:szCs w:val="20"/>
        </w:rPr>
        <w:t>CLN</w:t>
      </w:r>
      <w:r>
        <w:rPr>
          <w:rFonts w:ascii="Arial" w:hAnsi="Arial" w:cs="Arial"/>
          <w:i/>
          <w:sz w:val="20"/>
          <w:szCs w:val="20"/>
        </w:rPr>
        <w:t>)</w:t>
      </w:r>
    </w:p>
    <w:p w14:paraId="35D5D34E" w14:textId="1F645837" w:rsidR="00E84D91" w:rsidRPr="00E84D91" w:rsidRDefault="00E84D91" w:rsidP="00E84D91">
      <w:pPr>
        <w:spacing w:after="120" w:line="360" w:lineRule="auto"/>
        <w:jc w:val="both"/>
        <w:rPr>
          <w:rFonts w:ascii="Arial" w:hAnsi="Arial" w:cs="Arial"/>
        </w:rPr>
      </w:pPr>
      <w:r w:rsidRPr="00E84D91">
        <w:rPr>
          <w:rFonts w:ascii="Arial" w:hAnsi="Arial" w:cs="Arial"/>
        </w:rPr>
        <w:t>Toutefois, cette relative accalmie d’ensemble masque toujours d’importantes disparités entre ventes à particuliers et ventes à investisseurs institutionnels.</w:t>
      </w:r>
    </w:p>
    <w:p w14:paraId="7BEE03FD" w14:textId="26039D08" w:rsidR="00942B34" w:rsidRDefault="00E22F75" w:rsidP="00E84D91">
      <w:pPr>
        <w:spacing w:after="120" w:line="360" w:lineRule="auto"/>
        <w:jc w:val="both"/>
        <w:rPr>
          <w:rFonts w:ascii="Arial" w:hAnsi="Arial" w:cs="Arial"/>
        </w:rPr>
      </w:pPr>
      <w:r>
        <w:rPr>
          <w:rFonts w:ascii="Arial" w:hAnsi="Arial" w:cs="Arial"/>
        </w:rPr>
        <w:t>L</w:t>
      </w:r>
      <w:r w:rsidR="00E84D91" w:rsidRPr="00E84D91">
        <w:rPr>
          <w:rFonts w:ascii="Arial" w:hAnsi="Arial" w:cs="Arial"/>
        </w:rPr>
        <w:t>es premières poursuivent leur chute, à -19,2</w:t>
      </w:r>
      <w:r>
        <w:rPr>
          <w:rFonts w:ascii="Arial" w:hAnsi="Arial" w:cs="Arial"/>
        </w:rPr>
        <w:t> %</w:t>
      </w:r>
      <w:r w:rsidR="00E84D91" w:rsidRPr="00E84D91">
        <w:rPr>
          <w:rFonts w:ascii="Arial" w:hAnsi="Arial" w:cs="Arial"/>
        </w:rPr>
        <w:t xml:space="preserve"> entre les premiers semestres 2023 et 2024, sans véritable amélioration au deuxième trimestre (-14,2</w:t>
      </w:r>
      <w:r>
        <w:rPr>
          <w:rFonts w:ascii="Arial" w:hAnsi="Arial" w:cs="Arial"/>
        </w:rPr>
        <w:t> %</w:t>
      </w:r>
      <w:r w:rsidR="00E84D91" w:rsidRPr="00E84D91">
        <w:rPr>
          <w:rFonts w:ascii="Arial" w:hAnsi="Arial" w:cs="Arial"/>
        </w:rPr>
        <w:t>). Avec seulement 29</w:t>
      </w:r>
      <w:r>
        <w:rPr>
          <w:rFonts w:ascii="Arial" w:hAnsi="Arial" w:cs="Arial"/>
        </w:rPr>
        <w:t> </w:t>
      </w:r>
      <w:r w:rsidR="00E84D91" w:rsidRPr="00E84D91">
        <w:rPr>
          <w:rFonts w:ascii="Arial" w:hAnsi="Arial" w:cs="Arial"/>
        </w:rPr>
        <w:t xml:space="preserve">985 logements concernés sur les six premiers mois de 2024, on atteint le deuxième plus faible </w:t>
      </w:r>
      <w:r w:rsidR="00E84D91" w:rsidRPr="00E84D91">
        <w:rPr>
          <w:rFonts w:ascii="Arial" w:hAnsi="Arial" w:cs="Arial"/>
        </w:rPr>
        <w:lastRenderedPageBreak/>
        <w:t>score observé pour un premier semestre depuis l’origine de la série, après 1995 (28</w:t>
      </w:r>
      <w:r>
        <w:rPr>
          <w:rFonts w:ascii="Arial" w:hAnsi="Arial" w:cs="Arial"/>
        </w:rPr>
        <w:t> </w:t>
      </w:r>
      <w:r w:rsidR="00E84D91" w:rsidRPr="00E84D91">
        <w:rPr>
          <w:rFonts w:ascii="Arial" w:hAnsi="Arial" w:cs="Arial"/>
        </w:rPr>
        <w:t>405). Il faut toutefois signaler que le taux d’annulation de 16,9</w:t>
      </w:r>
      <w:r>
        <w:rPr>
          <w:rFonts w:ascii="Arial" w:hAnsi="Arial" w:cs="Arial"/>
        </w:rPr>
        <w:t> %</w:t>
      </w:r>
      <w:r w:rsidR="00E84D91" w:rsidRPr="00E84D91">
        <w:rPr>
          <w:rFonts w:ascii="Arial" w:hAnsi="Arial" w:cs="Arial"/>
        </w:rPr>
        <w:t xml:space="preserve"> se replie depuis le point haut du quatrième trimestre 2023 (-9,8 points de pourcentage -ppct), bien qu’il reste encore un peu au-dessus de la moyenne observée depuis 2017 (premier point disponible, avec 15,3</w:t>
      </w:r>
      <w:r>
        <w:rPr>
          <w:rFonts w:ascii="Arial" w:hAnsi="Arial" w:cs="Arial"/>
        </w:rPr>
        <w:t> %</w:t>
      </w:r>
      <w:r w:rsidR="00E84D91" w:rsidRPr="00E84D91">
        <w:rPr>
          <w:rFonts w:ascii="Arial" w:hAnsi="Arial" w:cs="Arial"/>
        </w:rPr>
        <w:t>). Sans doute cela fragilise-t-il moins les programmes lancés.</w:t>
      </w:r>
    </w:p>
    <w:p w14:paraId="24A6157A" w14:textId="73AC02C9" w:rsidR="00E84D91" w:rsidRDefault="00E84D91" w:rsidP="00E84D91">
      <w:pPr>
        <w:spacing w:after="120" w:line="360" w:lineRule="auto"/>
        <w:jc w:val="both"/>
        <w:rPr>
          <w:rFonts w:ascii="Arial" w:hAnsi="Arial" w:cs="Arial"/>
        </w:rPr>
      </w:pPr>
      <w:r w:rsidRPr="00E84D91">
        <w:rPr>
          <w:rFonts w:ascii="Arial" w:hAnsi="Arial" w:cs="Arial"/>
        </w:rPr>
        <w:t>À l’opposé, les ventes à institutionnels progressent de 42,5</w:t>
      </w:r>
      <w:r w:rsidR="00E22F75">
        <w:rPr>
          <w:rFonts w:ascii="Arial" w:hAnsi="Arial" w:cs="Arial"/>
        </w:rPr>
        <w:t> %</w:t>
      </w:r>
      <w:r w:rsidRPr="00E84D91">
        <w:rPr>
          <w:rFonts w:ascii="Arial" w:hAnsi="Arial" w:cs="Arial"/>
        </w:rPr>
        <w:t xml:space="preserve"> en glissement annuel sur le premier semestre 2024. De fait, celles signées avec des bailleurs sociaux s’envolent de 49,5</w:t>
      </w:r>
      <w:r w:rsidR="00E22F75">
        <w:rPr>
          <w:rFonts w:ascii="Arial" w:hAnsi="Arial" w:cs="Arial"/>
        </w:rPr>
        <w:t> %</w:t>
      </w:r>
      <w:r w:rsidRPr="00E84D91">
        <w:rPr>
          <w:rFonts w:ascii="Arial" w:hAnsi="Arial" w:cs="Arial"/>
        </w:rPr>
        <w:t>, celles aux autres institutionnels affichent une hausse plus modeste de 9,7</w:t>
      </w:r>
      <w:r w:rsidR="00E22F75">
        <w:rPr>
          <w:rFonts w:ascii="Arial" w:hAnsi="Arial" w:cs="Arial"/>
        </w:rPr>
        <w:t> %</w:t>
      </w:r>
      <w:r w:rsidRPr="00E84D91">
        <w:rPr>
          <w:rFonts w:ascii="Arial" w:hAnsi="Arial" w:cs="Arial"/>
        </w:rPr>
        <w:t xml:space="preserve">. Mais ces hausses bienvenues naissent du seul effet des politiques de rachat du stock des promoteurs engagées </w:t>
      </w:r>
      <w:r w:rsidR="00E22F75">
        <w:rPr>
          <w:rFonts w:ascii="Arial" w:hAnsi="Arial" w:cs="Arial"/>
        </w:rPr>
        <w:t xml:space="preserve">en 2024 </w:t>
      </w:r>
      <w:r w:rsidRPr="00E84D91">
        <w:rPr>
          <w:rFonts w:ascii="Arial" w:hAnsi="Arial" w:cs="Arial"/>
        </w:rPr>
        <w:t>par Action Logement et CDC Habitat. Elles ne définissent pas la tendance de fond, portée par les ventes aux ménages.</w:t>
      </w:r>
    </w:p>
    <w:p w14:paraId="57719C7E" w14:textId="4BF31990" w:rsidR="00BB0B71" w:rsidRPr="004E5A09" w:rsidRDefault="00E84D91" w:rsidP="00EA2BAB">
      <w:pPr>
        <w:spacing w:after="120" w:line="360" w:lineRule="auto"/>
        <w:jc w:val="both"/>
        <w:rPr>
          <w:rFonts w:ascii="Arial" w:hAnsi="Arial" w:cs="Arial"/>
        </w:rPr>
      </w:pPr>
      <w:bookmarkStart w:id="0" w:name="_Hlk141363354"/>
      <w:r w:rsidRPr="00E84D91">
        <w:rPr>
          <w:rFonts w:ascii="Arial" w:hAnsi="Arial" w:cs="Arial"/>
        </w:rPr>
        <w:t>Côté offre nouvelle, en glissement annuel sur le premier semestre 2024, les mises en vente aux particuliers continuent de s’effondrer, à -39,9</w:t>
      </w:r>
      <w:r w:rsidR="00E22F75">
        <w:rPr>
          <w:rFonts w:ascii="Arial" w:hAnsi="Arial" w:cs="Arial"/>
        </w:rPr>
        <w:t> %</w:t>
      </w:r>
      <w:r w:rsidRPr="00E84D91">
        <w:rPr>
          <w:rFonts w:ascii="Arial" w:hAnsi="Arial" w:cs="Arial"/>
        </w:rPr>
        <w:t>, sans changement de rythme sur le deuxième trimestre (-38,8</w:t>
      </w:r>
      <w:r w:rsidR="00E22F75">
        <w:rPr>
          <w:rFonts w:ascii="Arial" w:hAnsi="Arial" w:cs="Arial"/>
        </w:rPr>
        <w:t> %</w:t>
      </w:r>
      <w:r w:rsidRPr="00E84D91">
        <w:rPr>
          <w:rFonts w:ascii="Arial" w:hAnsi="Arial" w:cs="Arial"/>
        </w:rPr>
        <w:t>). Il s’agit du plus bas premier semestre relevé depuis 1995, avec seulement 27</w:t>
      </w:r>
      <w:r w:rsidR="00E22F75">
        <w:rPr>
          <w:rFonts w:ascii="Arial" w:hAnsi="Arial" w:cs="Arial"/>
        </w:rPr>
        <w:t> </w:t>
      </w:r>
      <w:r w:rsidRPr="00E84D91">
        <w:rPr>
          <w:rFonts w:ascii="Arial" w:hAnsi="Arial" w:cs="Arial"/>
        </w:rPr>
        <w:t>200 unités.</w:t>
      </w:r>
    </w:p>
    <w:p w14:paraId="796A3FBE" w14:textId="2D437A2B" w:rsidR="00EA2BAB" w:rsidRPr="0059306C" w:rsidRDefault="007E149D" w:rsidP="00EA2BAB">
      <w:pPr>
        <w:spacing w:after="120" w:line="360" w:lineRule="auto"/>
        <w:jc w:val="both"/>
        <w:rPr>
          <w:rFonts w:ascii="Arial" w:hAnsi="Arial" w:cs="Arial"/>
        </w:rPr>
      </w:pPr>
      <w:r w:rsidRPr="007E149D">
        <w:rPr>
          <w:rFonts w:ascii="Arial" w:hAnsi="Arial" w:cs="Arial"/>
        </w:rPr>
        <w:t xml:space="preserve">Pour l’avenir, dans le collectif, les perspectives de mises en chantier </w:t>
      </w:r>
      <w:r w:rsidR="00E22F75">
        <w:rPr>
          <w:rFonts w:ascii="Arial" w:hAnsi="Arial" w:cs="Arial"/>
        </w:rPr>
        <w:t xml:space="preserve">déclarées par les promoteurs à l’Insee </w:t>
      </w:r>
      <w:r w:rsidR="00295114">
        <w:rPr>
          <w:rFonts w:ascii="Arial" w:hAnsi="Arial" w:cs="Arial"/>
        </w:rPr>
        <w:t>restent mauvaises</w:t>
      </w:r>
      <w:r w:rsidRPr="007E149D">
        <w:rPr>
          <w:rFonts w:ascii="Arial" w:hAnsi="Arial" w:cs="Arial"/>
        </w:rPr>
        <w:t xml:space="preserve"> à l’horizon de l’automne </w:t>
      </w:r>
      <w:r w:rsidR="00E22F75">
        <w:rPr>
          <w:rFonts w:ascii="Arial" w:hAnsi="Arial" w:cs="Arial"/>
        </w:rPr>
        <w:t xml:space="preserve">et </w:t>
      </w:r>
      <w:r w:rsidRPr="007E149D">
        <w:rPr>
          <w:rFonts w:ascii="Arial" w:hAnsi="Arial" w:cs="Arial"/>
        </w:rPr>
        <w:t>s’affiche</w:t>
      </w:r>
      <w:r w:rsidR="00E22F75">
        <w:rPr>
          <w:rFonts w:ascii="Arial" w:hAnsi="Arial" w:cs="Arial"/>
        </w:rPr>
        <w:t>nt</w:t>
      </w:r>
      <w:r w:rsidRPr="007E149D">
        <w:rPr>
          <w:rFonts w:ascii="Arial" w:hAnsi="Arial" w:cs="Arial"/>
        </w:rPr>
        <w:t xml:space="preserve"> 8,4 points en-deçà de leur moyenne de long terme (cf. graphique </w:t>
      </w:r>
      <w:r>
        <w:rPr>
          <w:rFonts w:ascii="Arial" w:hAnsi="Arial" w:cs="Arial"/>
        </w:rPr>
        <w:t>10</w:t>
      </w:r>
      <w:r w:rsidRPr="007E149D">
        <w:rPr>
          <w:rFonts w:ascii="Arial" w:hAnsi="Arial" w:cs="Arial"/>
        </w:rPr>
        <w:t>).</w:t>
      </w:r>
    </w:p>
    <w:bookmarkEnd w:id="0"/>
    <w:p w14:paraId="752CE53B" w14:textId="7E925686" w:rsidR="00F10A28" w:rsidRPr="00447AA0" w:rsidRDefault="00F10A28" w:rsidP="00274DB6">
      <w:pPr>
        <w:spacing w:after="0" w:line="360" w:lineRule="auto"/>
        <w:jc w:val="center"/>
        <w:rPr>
          <w:rFonts w:ascii="Arial" w:hAnsi="Arial" w:cs="Arial"/>
        </w:rPr>
      </w:pPr>
      <w:r w:rsidRPr="00447AA0">
        <w:rPr>
          <w:rFonts w:ascii="Arial" w:hAnsi="Arial" w:cs="Arial"/>
        </w:rPr>
        <w:t xml:space="preserve">Graphique </w:t>
      </w:r>
      <w:r w:rsidR="0024550D">
        <w:rPr>
          <w:rFonts w:ascii="Arial" w:hAnsi="Arial" w:cs="Arial"/>
        </w:rPr>
        <w:t>10</w:t>
      </w:r>
      <w:r w:rsidRPr="00447AA0">
        <w:rPr>
          <w:rFonts w:ascii="Arial" w:hAnsi="Arial" w:cs="Arial"/>
        </w:rPr>
        <w:t xml:space="preserve"> – </w:t>
      </w:r>
      <w:r w:rsidRPr="00447AA0">
        <w:rPr>
          <w:rFonts w:ascii="Arial" w:hAnsi="Arial" w:cs="Arial"/>
          <w:b/>
        </w:rPr>
        <w:t>Perspectives de mises en chantier exprimées par les promoteurs</w:t>
      </w:r>
    </w:p>
    <w:p w14:paraId="566301AB" w14:textId="10BD7E08" w:rsidR="00F10A28" w:rsidRPr="00911002" w:rsidRDefault="008A0B17" w:rsidP="00911002">
      <w:pPr>
        <w:spacing w:after="60" w:line="240" w:lineRule="auto"/>
        <w:jc w:val="center"/>
        <w:rPr>
          <w:rFonts w:ascii="Arial" w:hAnsi="Arial" w:cs="Arial"/>
          <w:noProof/>
          <w:lang w:eastAsia="fr-FR"/>
        </w:rPr>
      </w:pPr>
      <w:r w:rsidRPr="008A0B17">
        <w:rPr>
          <w:rFonts w:ascii="Arial" w:hAnsi="Arial" w:cs="Arial"/>
          <w:noProof/>
          <w:lang w:eastAsia="fr-FR"/>
        </w:rPr>
        <w:drawing>
          <wp:inline distT="0" distB="0" distL="0" distR="0" wp14:anchorId="7C706DD8" wp14:editId="6B6C7D6F">
            <wp:extent cx="5760720" cy="3054985"/>
            <wp:effectExtent l="0" t="0" r="0" b="0"/>
            <wp:docPr id="128171224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2F43D311" w14:textId="458042A5" w:rsidR="00F10A28" w:rsidRDefault="00B11DF5" w:rsidP="00587462">
      <w:pPr>
        <w:spacing w:after="120" w:line="360" w:lineRule="auto"/>
        <w:jc w:val="center"/>
        <w:rPr>
          <w:rFonts w:ascii="Arial" w:hAnsi="Arial" w:cs="Arial"/>
        </w:rPr>
      </w:pPr>
      <w:r>
        <w:rPr>
          <w:rFonts w:ascii="Arial" w:hAnsi="Arial" w:cs="Arial"/>
          <w:i/>
          <w:sz w:val="20"/>
          <w:szCs w:val="20"/>
        </w:rPr>
        <w:t>Source : c</w:t>
      </w:r>
      <w:r w:rsidR="00670B56">
        <w:rPr>
          <w:rFonts w:ascii="Arial" w:hAnsi="Arial" w:cs="Arial"/>
          <w:i/>
          <w:sz w:val="20"/>
          <w:szCs w:val="20"/>
        </w:rPr>
        <w:t>alculs FFB d’après Insee</w:t>
      </w:r>
    </w:p>
    <w:p w14:paraId="09C8A60F" w14:textId="287F6C75" w:rsidR="007E149D" w:rsidRPr="007E149D" w:rsidRDefault="006D0B71" w:rsidP="007E149D">
      <w:pPr>
        <w:spacing w:after="120" w:line="360" w:lineRule="auto"/>
        <w:jc w:val="both"/>
        <w:rPr>
          <w:rFonts w:ascii="Arial" w:hAnsi="Arial" w:cs="Arial"/>
        </w:rPr>
      </w:pPr>
      <w:r>
        <w:rPr>
          <w:rFonts w:ascii="Arial" w:hAnsi="Arial" w:cs="Arial"/>
        </w:rPr>
        <w:t xml:space="preserve">Seules leurs perspectives </w:t>
      </w:r>
      <w:r w:rsidR="00E22F75">
        <w:rPr>
          <w:rFonts w:ascii="Arial" w:hAnsi="Arial" w:cs="Arial"/>
        </w:rPr>
        <w:t>relatives à l’</w:t>
      </w:r>
      <w:r w:rsidRPr="007E149D">
        <w:rPr>
          <w:rFonts w:ascii="Arial" w:hAnsi="Arial" w:cs="Arial"/>
        </w:rPr>
        <w:t xml:space="preserve">investissement locatif </w:t>
      </w:r>
      <w:r>
        <w:rPr>
          <w:rFonts w:ascii="Arial" w:hAnsi="Arial" w:cs="Arial"/>
        </w:rPr>
        <w:t>restent proches de leur moyenne de long terme, même si elles basculent légèrement en territoire négatif</w:t>
      </w:r>
      <w:r w:rsidR="007E149D" w:rsidRPr="007E149D">
        <w:rPr>
          <w:rFonts w:ascii="Arial" w:hAnsi="Arial" w:cs="Arial"/>
        </w:rPr>
        <w:t>.</w:t>
      </w:r>
    </w:p>
    <w:p w14:paraId="7197486A" w14:textId="111D1020" w:rsidR="007E149D" w:rsidRPr="007E149D" w:rsidRDefault="007E149D" w:rsidP="007E149D">
      <w:pPr>
        <w:spacing w:after="120" w:line="360" w:lineRule="auto"/>
        <w:jc w:val="both"/>
        <w:rPr>
          <w:rFonts w:ascii="Arial" w:hAnsi="Arial" w:cs="Arial"/>
        </w:rPr>
      </w:pPr>
      <w:r w:rsidRPr="007E149D">
        <w:rPr>
          <w:rFonts w:ascii="Arial" w:hAnsi="Arial" w:cs="Arial"/>
        </w:rPr>
        <w:lastRenderedPageBreak/>
        <w:t>Par ailleurs, la part des promoteurs qui envisagent de mettre à l’étude de nouveaux programmes immobiliers s’érode à nouveau, avec 49,5</w:t>
      </w:r>
      <w:r w:rsidR="00E22F75">
        <w:rPr>
          <w:rFonts w:ascii="Arial" w:hAnsi="Arial" w:cs="Arial"/>
        </w:rPr>
        <w:t> %</w:t>
      </w:r>
      <w:r w:rsidRPr="007E149D">
        <w:rPr>
          <w:rFonts w:ascii="Arial" w:hAnsi="Arial" w:cs="Arial"/>
        </w:rPr>
        <w:t xml:space="preserve"> à fin juillet 2024 contre 50,</w:t>
      </w:r>
      <w:r w:rsidR="006D0B71">
        <w:rPr>
          <w:rFonts w:ascii="Arial" w:hAnsi="Arial" w:cs="Arial"/>
        </w:rPr>
        <w:t>7</w:t>
      </w:r>
      <w:r w:rsidR="00E22F75">
        <w:rPr>
          <w:rFonts w:ascii="Arial" w:hAnsi="Arial" w:cs="Arial"/>
        </w:rPr>
        <w:t> %</w:t>
      </w:r>
      <w:r w:rsidRPr="007E149D">
        <w:rPr>
          <w:rFonts w:ascii="Arial" w:hAnsi="Arial" w:cs="Arial"/>
        </w:rPr>
        <w:t xml:space="preserve"> trois mois plus tôt et 13,2 points de pourcentage au-dessous de la moyenne relevée depuis 1991.</w:t>
      </w:r>
    </w:p>
    <w:p w14:paraId="53D1A080" w14:textId="6DD996EC" w:rsidR="009739F9" w:rsidRPr="00E65984" w:rsidRDefault="00773F8C" w:rsidP="009739F9">
      <w:pPr>
        <w:spacing w:after="120" w:line="360" w:lineRule="auto"/>
        <w:jc w:val="both"/>
        <w:rPr>
          <w:rFonts w:ascii="Arial" w:hAnsi="Arial" w:cs="Arial"/>
        </w:rPr>
      </w:pPr>
      <w:r w:rsidRPr="00E65984">
        <w:rPr>
          <w:rFonts w:ascii="Arial" w:hAnsi="Arial" w:cs="Arial"/>
        </w:rPr>
        <w:t>Quant aux ventes en diffus des constructeurs de maisons individuelles (les «</w:t>
      </w:r>
      <w:r w:rsidR="0070675C">
        <w:rPr>
          <w:rFonts w:ascii="Arial" w:hAnsi="Arial" w:cs="Arial"/>
        </w:rPr>
        <w:t> </w:t>
      </w:r>
      <w:r w:rsidRPr="00E65984">
        <w:rPr>
          <w:rFonts w:ascii="Arial" w:hAnsi="Arial" w:cs="Arial"/>
        </w:rPr>
        <w:t>Cmistes</w:t>
      </w:r>
      <w:r w:rsidR="0070675C">
        <w:rPr>
          <w:rFonts w:ascii="Arial" w:hAnsi="Arial" w:cs="Arial"/>
        </w:rPr>
        <w:t> </w:t>
      </w:r>
      <w:r w:rsidRPr="00E65984">
        <w:rPr>
          <w:rFonts w:ascii="Arial" w:hAnsi="Arial" w:cs="Arial"/>
        </w:rPr>
        <w:t>»), elles continuent de plonger, à -2</w:t>
      </w:r>
      <w:r w:rsidR="00190939" w:rsidRPr="00E65984">
        <w:rPr>
          <w:rFonts w:ascii="Arial" w:hAnsi="Arial" w:cs="Arial"/>
        </w:rPr>
        <w:t>3</w:t>
      </w:r>
      <w:r w:rsidRPr="00E65984">
        <w:rPr>
          <w:rFonts w:ascii="Arial" w:hAnsi="Arial" w:cs="Arial"/>
        </w:rPr>
        <w:t>,</w:t>
      </w:r>
      <w:r w:rsidR="00190939" w:rsidRPr="00E65984">
        <w:rPr>
          <w:rFonts w:ascii="Arial" w:hAnsi="Arial" w:cs="Arial"/>
        </w:rPr>
        <w:t>7</w:t>
      </w:r>
      <w:r w:rsidR="00E22F75">
        <w:rPr>
          <w:rFonts w:ascii="Arial" w:hAnsi="Arial" w:cs="Arial"/>
        </w:rPr>
        <w:t> %</w:t>
      </w:r>
      <w:r w:rsidRPr="00E65984">
        <w:rPr>
          <w:rFonts w:ascii="Arial" w:hAnsi="Arial" w:cs="Arial"/>
        </w:rPr>
        <w:t xml:space="preserve"> en glissement annuel sur </w:t>
      </w:r>
      <w:r w:rsidR="00190939" w:rsidRPr="00E65984">
        <w:rPr>
          <w:rFonts w:ascii="Arial" w:hAnsi="Arial" w:cs="Arial"/>
        </w:rPr>
        <w:t>sept</w:t>
      </w:r>
      <w:r w:rsidRPr="00E65984">
        <w:rPr>
          <w:rFonts w:ascii="Arial" w:hAnsi="Arial" w:cs="Arial"/>
        </w:rPr>
        <w:t xml:space="preserve"> mois à fin jui</w:t>
      </w:r>
      <w:r w:rsidR="00190939" w:rsidRPr="00E65984">
        <w:rPr>
          <w:rFonts w:ascii="Arial" w:hAnsi="Arial" w:cs="Arial"/>
        </w:rPr>
        <w:t>llet</w:t>
      </w:r>
      <w:r w:rsidRPr="00E65984">
        <w:rPr>
          <w:rFonts w:ascii="Arial" w:hAnsi="Arial" w:cs="Arial"/>
        </w:rPr>
        <w:t xml:space="preserve"> 2024</w:t>
      </w:r>
      <w:r w:rsidR="00190939" w:rsidRPr="00E65984">
        <w:rPr>
          <w:rFonts w:ascii="Arial" w:hAnsi="Arial" w:cs="Arial"/>
        </w:rPr>
        <w:t>. Les 49 300 logements vendus en cumul sur douze mois à fin juillet 2024 définissent un nouveau point bas depuis 2007 (année d’origine de la série, cf. graphique 11). Toutefois</w:t>
      </w:r>
      <w:r w:rsidRPr="00E65984">
        <w:rPr>
          <w:rFonts w:ascii="Arial" w:hAnsi="Arial" w:cs="Arial"/>
        </w:rPr>
        <w:t>,</w:t>
      </w:r>
      <w:r w:rsidR="00190939" w:rsidRPr="00E65984">
        <w:rPr>
          <w:rFonts w:ascii="Arial" w:hAnsi="Arial" w:cs="Arial"/>
        </w:rPr>
        <w:t xml:space="preserve"> </w:t>
      </w:r>
      <w:r w:rsidRPr="00E65984">
        <w:rPr>
          <w:rFonts w:ascii="Arial" w:hAnsi="Arial" w:cs="Arial"/>
        </w:rPr>
        <w:t xml:space="preserve">on relève un ralentissement </w:t>
      </w:r>
      <w:r w:rsidR="00E65984" w:rsidRPr="00E65984">
        <w:rPr>
          <w:rFonts w:ascii="Arial" w:hAnsi="Arial" w:cs="Arial"/>
        </w:rPr>
        <w:t xml:space="preserve">en cumul de mai à juillet 2024 par rapport à la même période un </w:t>
      </w:r>
      <w:r w:rsidR="005A7496">
        <w:rPr>
          <w:rFonts w:ascii="Arial" w:hAnsi="Arial" w:cs="Arial"/>
        </w:rPr>
        <w:t xml:space="preserve">an </w:t>
      </w:r>
      <w:r w:rsidR="00E65984" w:rsidRPr="00E65984">
        <w:rPr>
          <w:rFonts w:ascii="Arial" w:hAnsi="Arial" w:cs="Arial"/>
        </w:rPr>
        <w:t>auparavant</w:t>
      </w:r>
      <w:r w:rsidR="00190939" w:rsidRPr="00E65984">
        <w:rPr>
          <w:rFonts w:ascii="Arial" w:hAnsi="Arial" w:cs="Arial"/>
        </w:rPr>
        <w:t>, à -13,1</w:t>
      </w:r>
      <w:r w:rsidR="00E22F75">
        <w:rPr>
          <w:rFonts w:ascii="Arial" w:hAnsi="Arial" w:cs="Arial"/>
        </w:rPr>
        <w:t> %</w:t>
      </w:r>
      <w:r w:rsidR="00190939" w:rsidRPr="00E65984">
        <w:rPr>
          <w:rFonts w:ascii="Arial" w:hAnsi="Arial" w:cs="Arial"/>
        </w:rPr>
        <w:t>, et même un arrêt de la chute sur le seul mois de juillet</w:t>
      </w:r>
      <w:r w:rsidRPr="00E65984">
        <w:rPr>
          <w:rFonts w:ascii="Arial" w:hAnsi="Arial" w:cs="Arial"/>
        </w:rPr>
        <w:t xml:space="preserve"> (</w:t>
      </w:r>
      <w:r w:rsidR="00190939" w:rsidRPr="00E65984">
        <w:rPr>
          <w:rFonts w:ascii="Arial" w:hAnsi="Arial" w:cs="Arial"/>
        </w:rPr>
        <w:t>+0,1</w:t>
      </w:r>
      <w:r w:rsidR="00E22F75">
        <w:rPr>
          <w:rFonts w:ascii="Arial" w:hAnsi="Arial" w:cs="Arial"/>
        </w:rPr>
        <w:t> %</w:t>
      </w:r>
      <w:r w:rsidRPr="00E65984">
        <w:rPr>
          <w:rFonts w:ascii="Arial" w:hAnsi="Arial" w:cs="Arial"/>
        </w:rPr>
        <w:t>)</w:t>
      </w:r>
      <w:r w:rsidR="0070171C">
        <w:rPr>
          <w:rFonts w:ascii="Arial" w:hAnsi="Arial" w:cs="Arial"/>
        </w:rPr>
        <w:t xml:space="preserve"> laissant présager que le point bas ait été atteint sur ce segment</w:t>
      </w:r>
      <w:r w:rsidRPr="00E65984">
        <w:rPr>
          <w:rFonts w:ascii="Arial" w:hAnsi="Arial" w:cs="Arial"/>
        </w:rPr>
        <w:t>.</w:t>
      </w:r>
    </w:p>
    <w:p w14:paraId="3368C8D1" w14:textId="5FE24DB4" w:rsidR="00051B72" w:rsidRDefault="00051B72" w:rsidP="002B141B">
      <w:pPr>
        <w:spacing w:after="0" w:line="360" w:lineRule="auto"/>
        <w:jc w:val="center"/>
        <w:rPr>
          <w:rStyle w:val="Marquedecommentaire"/>
          <w:noProof/>
          <w:sz w:val="22"/>
          <w:szCs w:val="22"/>
          <w:lang w:eastAsia="fr-FR"/>
        </w:rPr>
      </w:pPr>
      <w:r w:rsidRPr="000C2F8B">
        <w:rPr>
          <w:rFonts w:ascii="Arial" w:hAnsi="Arial" w:cs="Arial"/>
          <w:color w:val="000000" w:themeColor="text1"/>
        </w:rPr>
        <w:t xml:space="preserve">Graphique </w:t>
      </w:r>
      <w:r w:rsidR="00C25C9A" w:rsidRPr="000C2F8B">
        <w:rPr>
          <w:rFonts w:ascii="Arial" w:hAnsi="Arial" w:cs="Arial"/>
          <w:color w:val="000000" w:themeColor="text1"/>
        </w:rPr>
        <w:t>1</w:t>
      </w:r>
      <w:r w:rsidR="0024550D">
        <w:rPr>
          <w:rFonts w:ascii="Arial" w:hAnsi="Arial" w:cs="Arial"/>
          <w:color w:val="000000" w:themeColor="text1"/>
        </w:rPr>
        <w:t>1</w:t>
      </w:r>
      <w:r w:rsidRPr="000C2F8B">
        <w:rPr>
          <w:rFonts w:ascii="Arial" w:hAnsi="Arial" w:cs="Arial"/>
          <w:color w:val="000000" w:themeColor="text1"/>
        </w:rPr>
        <w:t xml:space="preserve"> –</w:t>
      </w:r>
      <w:r w:rsidR="00D23E72" w:rsidRPr="000C2F8B">
        <w:rPr>
          <w:rFonts w:ascii="Arial" w:hAnsi="Arial" w:cs="Arial"/>
          <w:color w:val="000000" w:themeColor="text1"/>
        </w:rPr>
        <w:t xml:space="preserve"> </w:t>
      </w:r>
      <w:r w:rsidR="004E64A6" w:rsidRPr="000C2F8B">
        <w:rPr>
          <w:rFonts w:ascii="Arial" w:hAnsi="Arial" w:cs="Arial"/>
          <w:b/>
          <w:bCs/>
          <w:color w:val="000000" w:themeColor="text1"/>
        </w:rPr>
        <w:t xml:space="preserve">Cumul sur douze mois à fin </w:t>
      </w:r>
      <w:r w:rsidR="008A0B17">
        <w:rPr>
          <w:rFonts w:ascii="Arial" w:hAnsi="Arial" w:cs="Arial"/>
          <w:b/>
          <w:bCs/>
          <w:color w:val="000000" w:themeColor="text1"/>
        </w:rPr>
        <w:t>juillet</w:t>
      </w:r>
      <w:r w:rsidR="004E64A6" w:rsidRPr="000C2F8B">
        <w:rPr>
          <w:rFonts w:ascii="Arial" w:hAnsi="Arial" w:cs="Arial"/>
          <w:b/>
          <w:bCs/>
          <w:color w:val="000000" w:themeColor="text1"/>
        </w:rPr>
        <w:t xml:space="preserve"> des v</w:t>
      </w:r>
      <w:r w:rsidRPr="000C2F8B">
        <w:rPr>
          <w:rFonts w:ascii="Arial" w:hAnsi="Arial" w:cs="Arial"/>
          <w:b/>
          <w:bCs/>
          <w:color w:val="000000" w:themeColor="text1"/>
        </w:rPr>
        <w:t>entes</w:t>
      </w:r>
      <w:r w:rsidRPr="000C2F8B">
        <w:rPr>
          <w:rFonts w:ascii="Arial" w:hAnsi="Arial" w:cs="Arial"/>
          <w:b/>
          <w:color w:val="000000" w:themeColor="text1"/>
        </w:rPr>
        <w:t xml:space="preserve"> de maisons individuelles </w:t>
      </w:r>
      <w:r w:rsidR="004E64A6" w:rsidRPr="000C2F8B">
        <w:rPr>
          <w:rFonts w:ascii="Arial" w:hAnsi="Arial" w:cs="Arial"/>
          <w:b/>
          <w:color w:val="000000" w:themeColor="text1"/>
        </w:rPr>
        <w:t>en</w:t>
      </w:r>
      <w:r w:rsidRPr="000C2F8B">
        <w:rPr>
          <w:rFonts w:ascii="Arial" w:hAnsi="Arial" w:cs="Arial"/>
          <w:b/>
          <w:color w:val="000000" w:themeColor="text1"/>
        </w:rPr>
        <w:t xml:space="preserve"> secteur diffus</w:t>
      </w:r>
      <w:r w:rsidR="00BC75F3" w:rsidRPr="00955CC4">
        <w:rPr>
          <w:rStyle w:val="Marquedecommentaire"/>
          <w:color w:val="000000" w:themeColor="text1"/>
          <w:sz w:val="22"/>
          <w:szCs w:val="22"/>
        </w:rPr>
        <w:t xml:space="preserve"> </w:t>
      </w:r>
    </w:p>
    <w:p w14:paraId="5B5E45D3" w14:textId="3F397D15" w:rsidR="00B34E91" w:rsidRPr="00911002" w:rsidRDefault="009D1C6B" w:rsidP="00340BDA">
      <w:pPr>
        <w:spacing w:after="60" w:line="240" w:lineRule="auto"/>
        <w:jc w:val="center"/>
        <w:rPr>
          <w:rFonts w:ascii="Arial" w:hAnsi="Arial" w:cs="Arial"/>
          <w:noProof/>
          <w:lang w:eastAsia="fr-FR"/>
        </w:rPr>
      </w:pPr>
      <w:r w:rsidRPr="009D1C6B">
        <w:rPr>
          <w:rFonts w:ascii="Arial" w:hAnsi="Arial" w:cs="Arial"/>
          <w:noProof/>
          <w:lang w:eastAsia="fr-FR"/>
        </w:rPr>
        <w:drawing>
          <wp:inline distT="0" distB="0" distL="0" distR="0" wp14:anchorId="040EAB15" wp14:editId="2BAF3C8C">
            <wp:extent cx="5760720" cy="3064510"/>
            <wp:effectExtent l="0" t="0" r="0" b="2540"/>
            <wp:docPr id="36539399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55ECBE1C" w14:textId="0E35F366" w:rsidR="00051B72" w:rsidRDefault="00051B72" w:rsidP="00B065B6">
      <w:pPr>
        <w:spacing w:after="120" w:line="360" w:lineRule="auto"/>
        <w:jc w:val="center"/>
        <w:rPr>
          <w:rFonts w:ascii="Arial" w:hAnsi="Arial" w:cs="Arial"/>
          <w:i/>
          <w:sz w:val="20"/>
          <w:szCs w:val="20"/>
        </w:rPr>
      </w:pPr>
      <w:r w:rsidRPr="00C352DB">
        <w:rPr>
          <w:rFonts w:ascii="Arial" w:hAnsi="Arial" w:cs="Arial"/>
          <w:i/>
          <w:sz w:val="20"/>
          <w:szCs w:val="20"/>
        </w:rPr>
        <w:t xml:space="preserve">Source : </w:t>
      </w:r>
      <w:r w:rsidR="003D4B0B">
        <w:rPr>
          <w:rFonts w:ascii="Arial" w:hAnsi="Arial" w:cs="Arial"/>
          <w:i/>
          <w:sz w:val="20"/>
          <w:szCs w:val="20"/>
        </w:rPr>
        <w:t xml:space="preserve">calculs FFB d’après </w:t>
      </w:r>
      <w:r w:rsidRPr="00C352DB">
        <w:rPr>
          <w:rFonts w:ascii="Arial" w:hAnsi="Arial" w:cs="Arial"/>
          <w:i/>
          <w:sz w:val="20"/>
          <w:szCs w:val="20"/>
        </w:rPr>
        <w:t xml:space="preserve">CGI </w:t>
      </w:r>
      <w:r>
        <w:rPr>
          <w:rFonts w:ascii="Arial" w:hAnsi="Arial" w:cs="Arial"/>
          <w:i/>
          <w:sz w:val="20"/>
          <w:szCs w:val="20"/>
        </w:rPr>
        <w:t>B</w:t>
      </w:r>
      <w:r w:rsidRPr="00C352DB">
        <w:rPr>
          <w:rFonts w:ascii="Arial" w:hAnsi="Arial" w:cs="Arial"/>
          <w:i/>
          <w:sz w:val="20"/>
          <w:szCs w:val="20"/>
        </w:rPr>
        <w:t>âtiment</w:t>
      </w:r>
      <w:r>
        <w:rPr>
          <w:rFonts w:ascii="Arial" w:hAnsi="Arial" w:cs="Arial"/>
          <w:i/>
          <w:sz w:val="20"/>
          <w:szCs w:val="20"/>
        </w:rPr>
        <w:t>/</w:t>
      </w:r>
      <w:r w:rsidRPr="00C352DB">
        <w:rPr>
          <w:rFonts w:ascii="Arial" w:hAnsi="Arial" w:cs="Arial"/>
          <w:i/>
          <w:sz w:val="20"/>
          <w:szCs w:val="20"/>
        </w:rPr>
        <w:t xml:space="preserve">Caron </w:t>
      </w:r>
      <w:r>
        <w:rPr>
          <w:rFonts w:ascii="Arial" w:hAnsi="Arial" w:cs="Arial"/>
          <w:i/>
          <w:sz w:val="20"/>
          <w:szCs w:val="20"/>
        </w:rPr>
        <w:t>M</w:t>
      </w:r>
      <w:r w:rsidRPr="00C352DB">
        <w:rPr>
          <w:rFonts w:ascii="Arial" w:hAnsi="Arial" w:cs="Arial"/>
          <w:i/>
          <w:sz w:val="20"/>
          <w:szCs w:val="20"/>
        </w:rPr>
        <w:t>arketing, Markemétron</w:t>
      </w:r>
    </w:p>
    <w:p w14:paraId="5C9DB80E" w14:textId="087875A0" w:rsidR="008E3483" w:rsidRPr="007F7AF7" w:rsidRDefault="00E84D91" w:rsidP="008E3483">
      <w:pPr>
        <w:spacing w:after="120" w:line="360" w:lineRule="auto"/>
        <w:jc w:val="both"/>
        <w:rPr>
          <w:rFonts w:ascii="Arial" w:hAnsi="Arial" w:cs="Arial"/>
        </w:rPr>
      </w:pPr>
      <w:r w:rsidRPr="00E84D91">
        <w:rPr>
          <w:rFonts w:ascii="Arial" w:hAnsi="Arial" w:cs="Arial"/>
        </w:rPr>
        <w:t xml:space="preserve">Entre les premiers semestres 2023 et 2024, les ventes totales des promoteurs se replient encore dans environ la moitié des régions (cf. carte </w:t>
      </w:r>
      <w:r>
        <w:rPr>
          <w:rFonts w:ascii="Arial" w:hAnsi="Arial" w:cs="Arial"/>
        </w:rPr>
        <w:t>2a</w:t>
      </w:r>
      <w:r w:rsidRPr="00E84D91">
        <w:rPr>
          <w:rFonts w:ascii="Arial" w:hAnsi="Arial" w:cs="Arial"/>
        </w:rPr>
        <w:t>). Les reculs les plus prononcés s’observent en Corse (-45,7</w:t>
      </w:r>
      <w:r w:rsidR="0070675C">
        <w:rPr>
          <w:rFonts w:ascii="Arial" w:hAnsi="Arial" w:cs="Arial"/>
        </w:rPr>
        <w:t> %</w:t>
      </w:r>
      <w:r w:rsidRPr="00E84D91">
        <w:rPr>
          <w:rFonts w:ascii="Arial" w:hAnsi="Arial" w:cs="Arial"/>
        </w:rPr>
        <w:t>), Normandie (-24,6</w:t>
      </w:r>
      <w:r w:rsidR="0070675C">
        <w:rPr>
          <w:rFonts w:ascii="Arial" w:hAnsi="Arial" w:cs="Arial"/>
        </w:rPr>
        <w:t> %</w:t>
      </w:r>
      <w:r w:rsidRPr="00E84D91">
        <w:rPr>
          <w:rFonts w:ascii="Arial" w:hAnsi="Arial" w:cs="Arial"/>
        </w:rPr>
        <w:t>) et dans les Hauts-de-France (-22,5</w:t>
      </w:r>
      <w:r w:rsidR="0070675C">
        <w:rPr>
          <w:rFonts w:ascii="Arial" w:hAnsi="Arial" w:cs="Arial"/>
        </w:rPr>
        <w:t> %</w:t>
      </w:r>
      <w:r w:rsidRPr="00E84D91">
        <w:rPr>
          <w:rFonts w:ascii="Arial" w:hAnsi="Arial" w:cs="Arial"/>
        </w:rPr>
        <w:t>). À l’opposé, Grand Est (+20,7</w:t>
      </w:r>
      <w:r w:rsidR="0070675C">
        <w:rPr>
          <w:rFonts w:ascii="Arial" w:hAnsi="Arial" w:cs="Arial"/>
        </w:rPr>
        <w:t> %</w:t>
      </w:r>
      <w:r w:rsidRPr="00E84D91">
        <w:rPr>
          <w:rFonts w:ascii="Arial" w:hAnsi="Arial" w:cs="Arial"/>
        </w:rPr>
        <w:t>) et Pays de la Loire (+21,7</w:t>
      </w:r>
      <w:r w:rsidR="0070675C">
        <w:rPr>
          <w:rFonts w:ascii="Arial" w:hAnsi="Arial" w:cs="Arial"/>
        </w:rPr>
        <w:t> %</w:t>
      </w:r>
      <w:r w:rsidRPr="00E84D91">
        <w:rPr>
          <w:rFonts w:ascii="Arial" w:hAnsi="Arial" w:cs="Arial"/>
        </w:rPr>
        <w:t>) progressent fortement</w:t>
      </w:r>
      <w:r w:rsidR="008E3483" w:rsidRPr="004E5A09">
        <w:rPr>
          <w:rFonts w:ascii="Arial" w:hAnsi="Arial" w:cs="Arial"/>
        </w:rPr>
        <w:t>.</w:t>
      </w:r>
    </w:p>
    <w:p w14:paraId="36B1DF77" w14:textId="77777777" w:rsidR="007E149D" w:rsidRDefault="007E149D">
      <w:pPr>
        <w:rPr>
          <w:rFonts w:ascii="Arial" w:hAnsi="Arial" w:cs="Arial"/>
        </w:rPr>
      </w:pPr>
      <w:r>
        <w:rPr>
          <w:rFonts w:ascii="Arial" w:hAnsi="Arial" w:cs="Arial"/>
        </w:rPr>
        <w:br w:type="page"/>
      </w:r>
    </w:p>
    <w:p w14:paraId="64C14544" w14:textId="4A4FF188" w:rsidR="00EF2D2E" w:rsidRPr="000C2F8B" w:rsidRDefault="00EF2D2E" w:rsidP="0000025A">
      <w:pPr>
        <w:spacing w:after="0" w:line="360" w:lineRule="auto"/>
        <w:jc w:val="center"/>
        <w:rPr>
          <w:rFonts w:ascii="Arial" w:hAnsi="Arial" w:cs="Arial"/>
          <w:b/>
        </w:rPr>
      </w:pPr>
      <w:r w:rsidRPr="000C2F8B">
        <w:rPr>
          <w:rFonts w:ascii="Arial" w:hAnsi="Arial" w:cs="Arial"/>
        </w:rPr>
        <w:lastRenderedPageBreak/>
        <w:t xml:space="preserve">Cartes </w:t>
      </w:r>
      <w:r w:rsidR="000E0E41" w:rsidRPr="000C2F8B">
        <w:rPr>
          <w:rFonts w:ascii="Arial" w:hAnsi="Arial" w:cs="Arial"/>
        </w:rPr>
        <w:t>2</w:t>
      </w:r>
      <w:r w:rsidRPr="000C2F8B">
        <w:rPr>
          <w:rFonts w:ascii="Arial" w:hAnsi="Arial" w:cs="Arial"/>
        </w:rPr>
        <w:t xml:space="preserve">a et </w:t>
      </w:r>
      <w:r w:rsidR="000E0E41" w:rsidRPr="000C2F8B">
        <w:rPr>
          <w:rFonts w:ascii="Arial" w:hAnsi="Arial" w:cs="Arial"/>
        </w:rPr>
        <w:t>2</w:t>
      </w:r>
      <w:r w:rsidRPr="000C2F8B">
        <w:rPr>
          <w:rFonts w:ascii="Arial" w:hAnsi="Arial" w:cs="Arial"/>
        </w:rPr>
        <w:t xml:space="preserve">b – </w:t>
      </w:r>
      <w:r w:rsidRPr="000C2F8B">
        <w:rPr>
          <w:rFonts w:ascii="Arial" w:hAnsi="Arial" w:cs="Arial"/>
          <w:b/>
        </w:rPr>
        <w:t>Évolutions</w:t>
      </w:r>
      <w:r w:rsidR="005F0FF7" w:rsidRPr="000C2F8B">
        <w:rPr>
          <w:rFonts w:ascii="Arial" w:hAnsi="Arial" w:cs="Arial"/>
          <w:b/>
        </w:rPr>
        <w:t xml:space="preserve"> régionales</w:t>
      </w:r>
      <w:r w:rsidRPr="000C2F8B">
        <w:rPr>
          <w:rFonts w:ascii="Arial" w:hAnsi="Arial" w:cs="Arial"/>
          <w:b/>
        </w:rPr>
        <w:t xml:space="preserve"> </w:t>
      </w:r>
      <w:r w:rsidRPr="000C2F8B">
        <w:rPr>
          <w:rFonts w:ascii="Arial" w:hAnsi="Arial" w:cs="Arial"/>
        </w:rPr>
        <w:t>(en</w:t>
      </w:r>
      <w:r w:rsidR="0070675C">
        <w:rPr>
          <w:rFonts w:ascii="Arial" w:hAnsi="Arial" w:cs="Arial"/>
        </w:rPr>
        <w:t xml:space="preserve"> </w:t>
      </w:r>
      <w:r w:rsidR="00E26839" w:rsidRPr="000C2F8B">
        <w:rPr>
          <w:rFonts w:ascii="Arial" w:hAnsi="Arial" w:cs="Arial"/>
        </w:rPr>
        <w:t>%</w:t>
      </w:r>
      <w:r w:rsidRPr="000C2F8B">
        <w:rPr>
          <w:rFonts w:ascii="Arial" w:hAnsi="Arial" w:cs="Arial"/>
        </w:rPr>
        <w:t>)</w:t>
      </w:r>
      <w:r w:rsidR="005F0FF7" w:rsidRPr="000C2F8B">
        <w:rPr>
          <w:rFonts w:ascii="Arial" w:hAnsi="Arial" w:cs="Arial"/>
          <w:b/>
        </w:rPr>
        <w:t xml:space="preserve"> des ventes de logements neufs</w:t>
      </w:r>
    </w:p>
    <w:p w14:paraId="29EAD8C6" w14:textId="6A561582" w:rsidR="00EF2D2E" w:rsidRPr="000C2F8B" w:rsidRDefault="009D1C6B"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03841AA2" wp14:editId="08FF32FB">
            <wp:extent cx="5760720" cy="2529840"/>
            <wp:effectExtent l="0" t="0" r="0" b="3810"/>
            <wp:docPr id="972725492"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25492" name="Image 13" descr="Une image contenant texte, car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760720" cy="2529840"/>
                    </a:xfrm>
                    <a:prstGeom prst="rect">
                      <a:avLst/>
                    </a:prstGeom>
                  </pic:spPr>
                </pic:pic>
              </a:graphicData>
            </a:graphic>
          </wp:inline>
        </w:drawing>
      </w:r>
    </w:p>
    <w:p w14:paraId="318AF6F4" w14:textId="362BB472" w:rsidR="00EF2D2E" w:rsidRPr="000C2F8B" w:rsidRDefault="00EF2D2E" w:rsidP="008B2763">
      <w:pPr>
        <w:spacing w:after="120" w:line="360" w:lineRule="auto"/>
        <w:jc w:val="center"/>
        <w:rPr>
          <w:rFonts w:ascii="Arial" w:hAnsi="Arial" w:cs="Arial"/>
          <w:i/>
          <w:sz w:val="20"/>
          <w:szCs w:val="20"/>
        </w:rPr>
      </w:pPr>
      <w:r w:rsidRPr="000C2F8B">
        <w:rPr>
          <w:rFonts w:ascii="Arial" w:hAnsi="Arial" w:cs="Arial"/>
          <w:i/>
          <w:sz w:val="20"/>
          <w:szCs w:val="20"/>
        </w:rPr>
        <w:t>Source :</w:t>
      </w:r>
      <w:r w:rsidR="00A52309" w:rsidRPr="000C2F8B">
        <w:rPr>
          <w:rFonts w:ascii="Arial" w:hAnsi="Arial" w:cs="Arial"/>
          <w:i/>
          <w:sz w:val="20"/>
          <w:szCs w:val="20"/>
        </w:rPr>
        <w:t xml:space="preserve"> </w:t>
      </w:r>
      <w:r w:rsidR="0000265A" w:rsidRPr="000C2F8B">
        <w:rPr>
          <w:rFonts w:ascii="Arial" w:hAnsi="Arial" w:cs="Arial"/>
          <w:i/>
          <w:sz w:val="20"/>
          <w:szCs w:val="20"/>
        </w:rPr>
        <w:t>MTE</w:t>
      </w:r>
      <w:r w:rsidR="008A6D56" w:rsidRPr="000C2F8B">
        <w:rPr>
          <w:rFonts w:ascii="Arial" w:hAnsi="Arial" w:cs="Arial"/>
          <w:i/>
          <w:sz w:val="20"/>
          <w:szCs w:val="20"/>
        </w:rPr>
        <w:t>CT</w:t>
      </w:r>
      <w:r w:rsidR="0000265A" w:rsidRPr="000C2F8B">
        <w:rPr>
          <w:rFonts w:ascii="Arial" w:hAnsi="Arial" w:cs="Arial"/>
          <w:i/>
          <w:sz w:val="20"/>
          <w:szCs w:val="20"/>
        </w:rPr>
        <w:t>/CGDD/SDES, ECLN</w:t>
      </w:r>
      <w:r w:rsidR="00E36915" w:rsidRPr="000C2F8B">
        <w:rPr>
          <w:rFonts w:ascii="Arial" w:hAnsi="Arial" w:cs="Arial"/>
          <w:i/>
          <w:sz w:val="20"/>
          <w:szCs w:val="20"/>
        </w:rPr>
        <w:t xml:space="preserve"> ; </w:t>
      </w:r>
      <w:r w:rsidR="005A276D" w:rsidRPr="000C2F8B">
        <w:rPr>
          <w:rFonts w:ascii="Arial" w:hAnsi="Arial" w:cs="Arial"/>
          <w:i/>
          <w:sz w:val="20"/>
          <w:szCs w:val="20"/>
        </w:rPr>
        <w:t xml:space="preserve">FFB à partir de </w:t>
      </w:r>
      <w:r w:rsidR="00E36915" w:rsidRPr="000C2F8B">
        <w:rPr>
          <w:rFonts w:ascii="Arial" w:hAnsi="Arial" w:cs="Arial"/>
          <w:i/>
          <w:sz w:val="20"/>
          <w:szCs w:val="20"/>
        </w:rPr>
        <w:t>CGI Bâtiment/Caron Marketing, Markemétron</w:t>
      </w:r>
    </w:p>
    <w:p w14:paraId="345445D2" w14:textId="0F9681D7" w:rsidR="000D5296" w:rsidRPr="00F16403" w:rsidRDefault="000D5296" w:rsidP="000D5296">
      <w:pPr>
        <w:spacing w:after="120" w:line="360" w:lineRule="auto"/>
        <w:jc w:val="both"/>
        <w:rPr>
          <w:rFonts w:ascii="Arial" w:hAnsi="Arial" w:cs="Arial"/>
        </w:rPr>
      </w:pPr>
      <w:r w:rsidRPr="00F16403">
        <w:rPr>
          <w:rFonts w:ascii="Arial" w:hAnsi="Arial" w:cs="Arial"/>
        </w:rPr>
        <w:t xml:space="preserve">Dans l’individuel diffus, en </w:t>
      </w:r>
      <w:r w:rsidR="008E3483" w:rsidRPr="00F16403">
        <w:rPr>
          <w:rFonts w:ascii="Arial" w:hAnsi="Arial" w:cs="Arial"/>
        </w:rPr>
        <w:t xml:space="preserve">glissement annuel sur </w:t>
      </w:r>
      <w:r w:rsidR="008C2671" w:rsidRPr="00F16403">
        <w:rPr>
          <w:rFonts w:ascii="Arial" w:hAnsi="Arial" w:cs="Arial"/>
        </w:rPr>
        <w:t xml:space="preserve">les </w:t>
      </w:r>
      <w:r w:rsidR="00E84D91" w:rsidRPr="00F16403">
        <w:rPr>
          <w:rFonts w:ascii="Arial" w:hAnsi="Arial" w:cs="Arial"/>
        </w:rPr>
        <w:t>sept</w:t>
      </w:r>
      <w:r w:rsidR="008C2671" w:rsidRPr="00F16403">
        <w:rPr>
          <w:rFonts w:ascii="Arial" w:hAnsi="Arial" w:cs="Arial"/>
        </w:rPr>
        <w:t xml:space="preserve"> premiers mois</w:t>
      </w:r>
      <w:r w:rsidR="00211BFB" w:rsidRPr="00F16403">
        <w:rPr>
          <w:rFonts w:ascii="Arial" w:hAnsi="Arial" w:cs="Arial"/>
        </w:rPr>
        <w:t xml:space="preserve"> de 2024</w:t>
      </w:r>
      <w:r w:rsidRPr="00F16403">
        <w:rPr>
          <w:rFonts w:ascii="Arial" w:hAnsi="Arial" w:cs="Arial"/>
        </w:rPr>
        <w:t xml:space="preserve">, </w:t>
      </w:r>
      <w:r w:rsidR="00E84D91" w:rsidRPr="00F16403">
        <w:rPr>
          <w:rFonts w:ascii="Arial" w:hAnsi="Arial" w:cs="Arial"/>
        </w:rPr>
        <w:t xml:space="preserve">toutes les régions participent à la chute relevée au plan national (cf. carte </w:t>
      </w:r>
      <w:r w:rsidR="00BE56D3">
        <w:rPr>
          <w:rFonts w:ascii="Arial" w:hAnsi="Arial" w:cs="Arial"/>
        </w:rPr>
        <w:t>2b</w:t>
      </w:r>
      <w:r w:rsidR="00E84D91" w:rsidRPr="00F16403">
        <w:rPr>
          <w:rFonts w:ascii="Arial" w:hAnsi="Arial" w:cs="Arial"/>
        </w:rPr>
        <w:t xml:space="preserve">). </w:t>
      </w:r>
      <w:r w:rsidR="00F16403" w:rsidRPr="00F16403">
        <w:rPr>
          <w:rFonts w:ascii="Arial" w:hAnsi="Arial" w:cs="Arial"/>
        </w:rPr>
        <w:t>Toutefois, une large fraction du quart Nord-Ouest de la France s’en sort un peu moins mal</w:t>
      </w:r>
      <w:r w:rsidR="00E84D91" w:rsidRPr="00F16403">
        <w:rPr>
          <w:rFonts w:ascii="Arial" w:hAnsi="Arial" w:cs="Arial"/>
        </w:rPr>
        <w:t xml:space="preserve">, avec des </w:t>
      </w:r>
      <w:r w:rsidR="00F16403" w:rsidRPr="00F16403">
        <w:rPr>
          <w:rFonts w:ascii="Arial" w:hAnsi="Arial" w:cs="Arial"/>
        </w:rPr>
        <w:t>reculs</w:t>
      </w:r>
      <w:r w:rsidR="00E84D91" w:rsidRPr="00F16403">
        <w:rPr>
          <w:rFonts w:ascii="Arial" w:hAnsi="Arial" w:cs="Arial"/>
        </w:rPr>
        <w:t xml:space="preserve"> de </w:t>
      </w:r>
      <w:r w:rsidR="00F16403" w:rsidRPr="00F16403">
        <w:rPr>
          <w:rFonts w:ascii="Arial" w:hAnsi="Arial" w:cs="Arial"/>
        </w:rPr>
        <w:t>moins</w:t>
      </w:r>
      <w:r w:rsidR="00E84D91" w:rsidRPr="00F16403">
        <w:rPr>
          <w:rFonts w:ascii="Arial" w:hAnsi="Arial" w:cs="Arial"/>
        </w:rPr>
        <w:t xml:space="preserve"> de </w:t>
      </w:r>
      <w:r w:rsidR="00F16403" w:rsidRPr="00F16403">
        <w:rPr>
          <w:rFonts w:ascii="Arial" w:hAnsi="Arial" w:cs="Arial"/>
        </w:rPr>
        <w:t>2</w:t>
      </w:r>
      <w:r w:rsidR="00E84D91" w:rsidRPr="00F16403">
        <w:rPr>
          <w:rFonts w:ascii="Arial" w:hAnsi="Arial" w:cs="Arial"/>
        </w:rPr>
        <w:t>0</w:t>
      </w:r>
      <w:r w:rsidR="0070675C">
        <w:rPr>
          <w:rFonts w:ascii="Arial" w:hAnsi="Arial" w:cs="Arial"/>
        </w:rPr>
        <w:t> </w:t>
      </w:r>
      <w:r w:rsidR="00E84D91" w:rsidRPr="00F16403">
        <w:rPr>
          <w:rFonts w:ascii="Arial" w:hAnsi="Arial" w:cs="Arial"/>
        </w:rPr>
        <w:t>%</w:t>
      </w:r>
      <w:r w:rsidRPr="00F16403">
        <w:rPr>
          <w:rFonts w:ascii="Arial" w:hAnsi="Arial" w:cs="Arial"/>
        </w:rPr>
        <w:t>.</w:t>
      </w:r>
    </w:p>
    <w:p w14:paraId="00917366" w14:textId="5C52BE10" w:rsidR="001814CF" w:rsidRDefault="00EF2D2E" w:rsidP="007F395F">
      <w:pPr>
        <w:spacing w:before="360" w:after="120" w:line="360" w:lineRule="auto"/>
        <w:rPr>
          <w:rFonts w:ascii="Arial" w:hAnsi="Arial" w:cs="Arial"/>
          <w:color w:val="000000" w:themeColor="text1"/>
        </w:rPr>
      </w:pPr>
      <w:r w:rsidRPr="00767A96">
        <w:rPr>
          <w:rFonts w:ascii="Arial" w:hAnsi="Arial" w:cs="Arial"/>
          <w:u w:val="single"/>
        </w:rPr>
        <w:t>2.2 Le non résidentiel neuf</w:t>
      </w:r>
      <w:r w:rsidR="00612AC2" w:rsidRPr="00767A96">
        <w:rPr>
          <w:rStyle w:val="Appelnotedebasdep"/>
          <w:rFonts w:ascii="Arial" w:hAnsi="Arial" w:cs="Arial"/>
        </w:rPr>
        <w:footnoteReference w:id="4"/>
      </w:r>
    </w:p>
    <w:p w14:paraId="1DE7A6DF" w14:textId="58C71CAA" w:rsidR="00091E9C" w:rsidRDefault="00091E9C" w:rsidP="00091E9C">
      <w:pPr>
        <w:spacing w:after="120" w:line="360" w:lineRule="auto"/>
        <w:jc w:val="both"/>
        <w:rPr>
          <w:rFonts w:ascii="Arial" w:hAnsi="Arial" w:cs="Arial"/>
        </w:rPr>
      </w:pPr>
      <w:r>
        <w:rPr>
          <w:rFonts w:ascii="Arial" w:hAnsi="Arial" w:cs="Arial"/>
        </w:rPr>
        <w:t xml:space="preserve">Les surfaces commencées ne reculent plus que de 6,9 % en cumul de janvier à juillet 2024 par rapport à la même période un an auparavant et de seulement 2,0 % sur les trois derniers mois (cf. tableau 3). Le tassement s’avère général et l’on </w:t>
      </w:r>
      <w:r w:rsidR="00E91C51">
        <w:rPr>
          <w:rFonts w:ascii="Arial" w:hAnsi="Arial" w:cs="Arial"/>
        </w:rPr>
        <w:t>constate enfin</w:t>
      </w:r>
      <w:r>
        <w:rPr>
          <w:rFonts w:ascii="Arial" w:hAnsi="Arial" w:cs="Arial"/>
        </w:rPr>
        <w:t xml:space="preserve"> le redressement espéré des bâtiments publics, qui </w:t>
      </w:r>
      <w:r w:rsidR="00E91C51">
        <w:rPr>
          <w:rFonts w:ascii="Arial" w:hAnsi="Arial" w:cs="Arial"/>
        </w:rPr>
        <w:t>progressent</w:t>
      </w:r>
      <w:r>
        <w:rPr>
          <w:rFonts w:ascii="Arial" w:hAnsi="Arial" w:cs="Arial"/>
        </w:rPr>
        <w:t xml:space="preserve"> de 11,7 % en cumul de mai à juillet 2024 par rapport à il y a un an. L’échéance des élections municipales de 2026 semble bien se traduire </w:t>
      </w:r>
      <w:r w:rsidR="00E91C51">
        <w:rPr>
          <w:rFonts w:ascii="Arial" w:hAnsi="Arial" w:cs="Arial"/>
        </w:rPr>
        <w:t>en</w:t>
      </w:r>
      <w:r>
        <w:rPr>
          <w:rFonts w:ascii="Arial" w:hAnsi="Arial" w:cs="Arial"/>
        </w:rPr>
        <w:t xml:space="preserve"> chantiers qui sortent enfin de terre.</w:t>
      </w:r>
    </w:p>
    <w:p w14:paraId="5AF97C39" w14:textId="408B2072" w:rsidR="00091E9C" w:rsidRDefault="00E91C51" w:rsidP="00D87D6E">
      <w:pPr>
        <w:spacing w:after="0" w:line="360" w:lineRule="auto"/>
        <w:jc w:val="both"/>
        <w:rPr>
          <w:rFonts w:ascii="Arial" w:hAnsi="Arial" w:cs="Arial"/>
        </w:rPr>
      </w:pPr>
      <w:r>
        <w:rPr>
          <w:rFonts w:ascii="Arial" w:hAnsi="Arial" w:cs="Arial"/>
        </w:rPr>
        <w:t>L</w:t>
      </w:r>
      <w:r w:rsidR="00091E9C">
        <w:rPr>
          <w:rFonts w:ascii="Arial" w:hAnsi="Arial" w:cs="Arial"/>
        </w:rPr>
        <w:t>es</w:t>
      </w:r>
      <w:r w:rsidR="00091E9C" w:rsidRPr="007901EC">
        <w:rPr>
          <w:rFonts w:ascii="Arial" w:hAnsi="Arial" w:cs="Arial"/>
        </w:rPr>
        <w:t xml:space="preserve"> surfaces </w:t>
      </w:r>
      <w:r w:rsidR="00091E9C">
        <w:rPr>
          <w:rFonts w:ascii="Arial" w:hAnsi="Arial" w:cs="Arial"/>
        </w:rPr>
        <w:t>autorisées</w:t>
      </w:r>
      <w:r w:rsidR="00091E9C" w:rsidRPr="007901EC">
        <w:rPr>
          <w:rFonts w:ascii="Arial" w:hAnsi="Arial" w:cs="Arial"/>
        </w:rPr>
        <w:t xml:space="preserve"> </w:t>
      </w:r>
      <w:r w:rsidR="00091E9C">
        <w:rPr>
          <w:rFonts w:ascii="Arial" w:hAnsi="Arial" w:cs="Arial"/>
        </w:rPr>
        <w:t xml:space="preserve">ne se replient plus que de 2,0 % en glissement annuel sur sept et trois mois à fin juillet 2024. Trois segments s’affichent même en territoire positif : </w:t>
      </w:r>
    </w:p>
    <w:p w14:paraId="301F6DED" w14:textId="77777777" w:rsidR="00091E9C" w:rsidRDefault="00091E9C" w:rsidP="00091E9C">
      <w:pPr>
        <w:pStyle w:val="Paragraphedeliste"/>
        <w:numPr>
          <w:ilvl w:val="0"/>
          <w:numId w:val="31"/>
        </w:numPr>
        <w:spacing w:after="120" w:line="360" w:lineRule="auto"/>
        <w:jc w:val="both"/>
        <w:rPr>
          <w:rFonts w:ascii="Arial" w:hAnsi="Arial" w:cs="Arial"/>
        </w:rPr>
      </w:pPr>
      <w:r w:rsidRPr="00B922E5">
        <w:rPr>
          <w:rFonts w:ascii="Arial" w:hAnsi="Arial" w:cs="Arial"/>
        </w:rPr>
        <w:t>les locaux agricoles</w:t>
      </w:r>
      <w:r>
        <w:rPr>
          <w:rFonts w:ascii="Arial" w:hAnsi="Arial" w:cs="Arial"/>
        </w:rPr>
        <w:t>,</w:t>
      </w:r>
      <w:r w:rsidRPr="00B922E5">
        <w:rPr>
          <w:rFonts w:ascii="Arial" w:hAnsi="Arial" w:cs="Arial"/>
        </w:rPr>
        <w:t xml:space="preserve"> à respectivement +15,6 % et +27,5 %</w:t>
      </w:r>
      <w:r>
        <w:rPr>
          <w:rFonts w:ascii="Arial" w:hAnsi="Arial" w:cs="Arial"/>
        </w:rPr>
        <w:t xml:space="preserve"> </w:t>
      </w:r>
      <w:r w:rsidRPr="00582505">
        <w:rPr>
          <w:rFonts w:ascii="Arial" w:hAnsi="Arial" w:cs="Arial"/>
        </w:rPr>
        <w:t>sur sept et trois mois</w:t>
      </w:r>
      <w:r w:rsidRPr="00B922E5">
        <w:rPr>
          <w:rFonts w:ascii="Arial" w:hAnsi="Arial" w:cs="Arial"/>
        </w:rPr>
        <w:t> ;</w:t>
      </w:r>
    </w:p>
    <w:p w14:paraId="40C8E10F" w14:textId="77777777" w:rsidR="00091E9C" w:rsidRDefault="00091E9C" w:rsidP="00091E9C">
      <w:pPr>
        <w:pStyle w:val="Paragraphedeliste"/>
        <w:numPr>
          <w:ilvl w:val="0"/>
          <w:numId w:val="31"/>
        </w:numPr>
        <w:spacing w:after="120" w:line="360" w:lineRule="auto"/>
        <w:jc w:val="both"/>
        <w:rPr>
          <w:rFonts w:ascii="Arial" w:hAnsi="Arial" w:cs="Arial"/>
        </w:rPr>
      </w:pPr>
      <w:r>
        <w:rPr>
          <w:rFonts w:ascii="Arial" w:hAnsi="Arial" w:cs="Arial"/>
        </w:rPr>
        <w:t>les bâtiments publics, à +7,7 % et +10,0 % ;</w:t>
      </w:r>
    </w:p>
    <w:p w14:paraId="756ECC9F" w14:textId="77777777" w:rsidR="00091E9C" w:rsidRPr="00B922E5" w:rsidRDefault="00091E9C" w:rsidP="00091E9C">
      <w:pPr>
        <w:pStyle w:val="Paragraphedeliste"/>
        <w:numPr>
          <w:ilvl w:val="0"/>
          <w:numId w:val="31"/>
        </w:numPr>
        <w:spacing w:after="120" w:line="360" w:lineRule="auto"/>
        <w:jc w:val="both"/>
        <w:rPr>
          <w:rFonts w:ascii="Arial" w:hAnsi="Arial" w:cs="Arial"/>
        </w:rPr>
      </w:pPr>
      <w:r>
        <w:rPr>
          <w:rFonts w:ascii="Arial" w:hAnsi="Arial" w:cs="Arial"/>
        </w:rPr>
        <w:t>les hébergements hôteliers, à +2,3 % et +11,9 %.</w:t>
      </w:r>
    </w:p>
    <w:p w14:paraId="5284BE1B" w14:textId="77777777" w:rsidR="00D87D6E" w:rsidRPr="00D87D6E" w:rsidRDefault="00D87D6E" w:rsidP="00D87D6E">
      <w:pPr>
        <w:spacing w:after="120" w:line="360" w:lineRule="auto"/>
        <w:ind w:left="60"/>
        <w:jc w:val="both"/>
        <w:rPr>
          <w:rFonts w:ascii="Arial" w:hAnsi="Arial" w:cs="Arial"/>
        </w:rPr>
      </w:pPr>
      <w:r w:rsidRPr="00D87D6E">
        <w:rPr>
          <w:rFonts w:ascii="Arial" w:hAnsi="Arial" w:cs="Arial"/>
        </w:rPr>
        <w:t>Malgré une moindre dégradation, les surfaces commencées se maintiennent à un plus bas historique de 21,3 millions de m² en rythme annuel cvs sur 2024 (cf. graphique 12).</w:t>
      </w:r>
    </w:p>
    <w:p w14:paraId="139507F7" w14:textId="2DDFC28C" w:rsidR="00BF4A51" w:rsidRDefault="00391F11" w:rsidP="002F6B84">
      <w:pPr>
        <w:spacing w:after="0" w:line="360" w:lineRule="auto"/>
        <w:jc w:val="center"/>
        <w:rPr>
          <w:rFonts w:ascii="Arial" w:hAnsi="Arial" w:cs="Arial"/>
        </w:rPr>
      </w:pPr>
      <w:r>
        <w:rPr>
          <w:rFonts w:ascii="Arial" w:hAnsi="Arial" w:cs="Arial"/>
        </w:rPr>
        <w:lastRenderedPageBreak/>
        <w:t>Tableau 3</w:t>
      </w:r>
      <w:r w:rsidR="00BF4A51">
        <w:rPr>
          <w:rFonts w:ascii="Arial" w:hAnsi="Arial" w:cs="Arial"/>
        </w:rPr>
        <w:t xml:space="preserve"> – </w:t>
      </w:r>
      <w:r w:rsidR="00BF4A51" w:rsidRPr="00CB20BC">
        <w:rPr>
          <w:rFonts w:ascii="Arial" w:hAnsi="Arial" w:cs="Arial"/>
          <w:b/>
        </w:rPr>
        <w:t xml:space="preserve">Évolutions </w:t>
      </w:r>
      <w:r w:rsidR="00BF4A51" w:rsidRPr="00361390">
        <w:rPr>
          <w:rFonts w:ascii="Arial" w:hAnsi="Arial" w:cs="Arial"/>
        </w:rPr>
        <w:t>(en</w:t>
      </w:r>
      <w:r w:rsidR="00E26839">
        <w:rPr>
          <w:rFonts w:ascii="Arial" w:hAnsi="Arial" w:cs="Arial"/>
        </w:rPr>
        <w:t> %</w:t>
      </w:r>
      <w:r w:rsidR="00BF4A51" w:rsidRPr="00361390">
        <w:rPr>
          <w:rFonts w:ascii="Arial" w:hAnsi="Arial" w:cs="Arial"/>
        </w:rPr>
        <w:t>, en glissement annuel)</w:t>
      </w:r>
      <w:r w:rsidR="00BF4A51">
        <w:rPr>
          <w:rFonts w:ascii="Arial" w:hAnsi="Arial" w:cs="Arial"/>
          <w:b/>
        </w:rPr>
        <w:t xml:space="preserve"> du non résidentiel neuf</w:t>
      </w:r>
      <w:r w:rsidR="00BF4A51">
        <w:rPr>
          <w:rStyle w:val="Appelnotedebasdep"/>
          <w:rFonts w:ascii="Arial" w:hAnsi="Arial" w:cs="Arial"/>
          <w:b/>
        </w:rPr>
        <w:footnoteReference w:id="5"/>
      </w:r>
    </w:p>
    <w:tbl>
      <w:tblPr>
        <w:tblStyle w:val="Grilledutableau"/>
        <w:tblW w:w="9199"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2112"/>
        <w:gridCol w:w="992"/>
        <w:gridCol w:w="992"/>
        <w:gridCol w:w="992"/>
        <w:gridCol w:w="992"/>
        <w:gridCol w:w="992"/>
        <w:gridCol w:w="1135"/>
        <w:gridCol w:w="992"/>
      </w:tblGrid>
      <w:tr w:rsidR="009D1C6B" w14:paraId="1F6C76A5" w14:textId="77777777" w:rsidTr="00CD40BA">
        <w:tc>
          <w:tcPr>
            <w:tcW w:w="2112" w:type="dxa"/>
            <w:tcBorders>
              <w:bottom w:val="single" w:sz="2" w:space="0" w:color="000000" w:themeColor="text1"/>
            </w:tcBorders>
          </w:tcPr>
          <w:p w14:paraId="127287C3" w14:textId="77777777" w:rsidR="009D1C6B" w:rsidRDefault="009D1C6B" w:rsidP="00CD40BA">
            <w:pPr>
              <w:jc w:val="both"/>
              <w:rPr>
                <w:rFonts w:ascii="Arial" w:hAnsi="Arial" w:cs="Arial"/>
              </w:rPr>
            </w:pPr>
          </w:p>
        </w:tc>
        <w:tc>
          <w:tcPr>
            <w:tcW w:w="992" w:type="dxa"/>
            <w:tcBorders>
              <w:bottom w:val="single" w:sz="2" w:space="0" w:color="000000" w:themeColor="text1"/>
            </w:tcBorders>
          </w:tcPr>
          <w:p w14:paraId="4ECF0DDE" w14:textId="77777777" w:rsidR="009D1C6B" w:rsidRDefault="009D1C6B" w:rsidP="00CD40BA">
            <w:pPr>
              <w:jc w:val="center"/>
              <w:rPr>
                <w:rFonts w:ascii="Arial" w:hAnsi="Arial" w:cs="Arial"/>
              </w:rPr>
            </w:pPr>
            <w:r w:rsidRPr="4FF09C5F">
              <w:rPr>
                <w:rFonts w:ascii="Arial" w:hAnsi="Arial" w:cs="Arial"/>
              </w:rPr>
              <w:t>Hôtels</w:t>
            </w:r>
          </w:p>
        </w:tc>
        <w:tc>
          <w:tcPr>
            <w:tcW w:w="992" w:type="dxa"/>
            <w:tcBorders>
              <w:bottom w:val="single" w:sz="2" w:space="0" w:color="000000" w:themeColor="text1"/>
            </w:tcBorders>
          </w:tcPr>
          <w:p w14:paraId="7853E92B" w14:textId="77777777" w:rsidR="009D1C6B" w:rsidRDefault="009D1C6B" w:rsidP="00CD40BA">
            <w:pPr>
              <w:jc w:val="center"/>
              <w:rPr>
                <w:rFonts w:ascii="Arial" w:hAnsi="Arial" w:cs="Arial"/>
              </w:rPr>
            </w:pPr>
            <w:r w:rsidRPr="4FF09C5F">
              <w:rPr>
                <w:rFonts w:ascii="Arial" w:hAnsi="Arial" w:cs="Arial"/>
              </w:rPr>
              <w:t>Locaux agri-coles</w:t>
            </w:r>
          </w:p>
        </w:tc>
        <w:tc>
          <w:tcPr>
            <w:tcW w:w="992" w:type="dxa"/>
            <w:tcBorders>
              <w:bottom w:val="single" w:sz="2" w:space="0" w:color="000000" w:themeColor="text1"/>
            </w:tcBorders>
          </w:tcPr>
          <w:p w14:paraId="46250990" w14:textId="77777777" w:rsidR="009D1C6B" w:rsidRDefault="009D1C6B" w:rsidP="00CD40BA">
            <w:pPr>
              <w:jc w:val="center"/>
              <w:rPr>
                <w:rFonts w:ascii="Arial" w:hAnsi="Arial" w:cs="Arial"/>
              </w:rPr>
            </w:pPr>
            <w:r w:rsidRPr="4FF09C5F">
              <w:rPr>
                <w:rFonts w:ascii="Arial" w:hAnsi="Arial" w:cs="Arial"/>
              </w:rPr>
              <w:t>Locaux indus-triels</w:t>
            </w:r>
          </w:p>
        </w:tc>
        <w:tc>
          <w:tcPr>
            <w:tcW w:w="992" w:type="dxa"/>
            <w:tcBorders>
              <w:bottom w:val="single" w:sz="2" w:space="0" w:color="000000" w:themeColor="text1"/>
            </w:tcBorders>
          </w:tcPr>
          <w:p w14:paraId="15ECA55E" w14:textId="77777777" w:rsidR="009D1C6B" w:rsidRDefault="009D1C6B" w:rsidP="00CD40BA">
            <w:pPr>
              <w:jc w:val="center"/>
              <w:rPr>
                <w:rFonts w:ascii="Arial" w:hAnsi="Arial" w:cs="Arial"/>
              </w:rPr>
            </w:pPr>
            <w:r w:rsidRPr="4FF09C5F">
              <w:rPr>
                <w:rFonts w:ascii="Arial" w:hAnsi="Arial" w:cs="Arial"/>
              </w:rPr>
              <w:t>Bu-reaux</w:t>
            </w:r>
          </w:p>
        </w:tc>
        <w:tc>
          <w:tcPr>
            <w:tcW w:w="992" w:type="dxa"/>
            <w:tcBorders>
              <w:bottom w:val="single" w:sz="2" w:space="0" w:color="000000" w:themeColor="text1"/>
            </w:tcBorders>
          </w:tcPr>
          <w:p w14:paraId="3290C8A3" w14:textId="77777777" w:rsidR="009D1C6B" w:rsidRDefault="009D1C6B" w:rsidP="00CD40BA">
            <w:pPr>
              <w:jc w:val="center"/>
              <w:rPr>
                <w:rFonts w:ascii="Arial" w:hAnsi="Arial" w:cs="Arial"/>
              </w:rPr>
            </w:pPr>
            <w:r w:rsidRPr="4FF09C5F">
              <w:rPr>
                <w:rFonts w:ascii="Arial" w:hAnsi="Arial" w:cs="Arial"/>
              </w:rPr>
              <w:t>Com-merces</w:t>
            </w:r>
          </w:p>
        </w:tc>
        <w:tc>
          <w:tcPr>
            <w:tcW w:w="1135" w:type="dxa"/>
            <w:tcBorders>
              <w:bottom w:val="single" w:sz="2" w:space="0" w:color="000000" w:themeColor="text1"/>
            </w:tcBorders>
          </w:tcPr>
          <w:p w14:paraId="776DE59C" w14:textId="77777777" w:rsidR="009D1C6B" w:rsidRDefault="009D1C6B" w:rsidP="00CD40BA">
            <w:pPr>
              <w:jc w:val="center"/>
              <w:rPr>
                <w:rFonts w:ascii="Arial" w:hAnsi="Arial" w:cs="Arial"/>
              </w:rPr>
            </w:pPr>
            <w:r w:rsidRPr="4FF09C5F">
              <w:rPr>
                <w:rFonts w:ascii="Arial" w:hAnsi="Arial" w:cs="Arial"/>
              </w:rPr>
              <w:t>Locaux adminis-tratifs</w:t>
            </w:r>
          </w:p>
        </w:tc>
        <w:tc>
          <w:tcPr>
            <w:tcW w:w="992" w:type="dxa"/>
            <w:tcBorders>
              <w:bottom w:val="single" w:sz="2" w:space="0" w:color="000000" w:themeColor="text1"/>
            </w:tcBorders>
          </w:tcPr>
          <w:p w14:paraId="4E0E8E0D" w14:textId="77777777" w:rsidR="009D1C6B" w:rsidRPr="00B75464" w:rsidRDefault="009D1C6B" w:rsidP="00CD40BA">
            <w:pPr>
              <w:jc w:val="center"/>
              <w:rPr>
                <w:rFonts w:ascii="Arial" w:hAnsi="Arial" w:cs="Arial"/>
              </w:rPr>
            </w:pPr>
            <w:r w:rsidRPr="4FF09C5F">
              <w:rPr>
                <w:rFonts w:ascii="Arial" w:hAnsi="Arial" w:cs="Arial"/>
              </w:rPr>
              <w:t>Total</w:t>
            </w:r>
          </w:p>
        </w:tc>
      </w:tr>
      <w:tr w:rsidR="009D1C6B" w14:paraId="51D91AA2" w14:textId="77777777" w:rsidTr="00CD40BA">
        <w:tc>
          <w:tcPr>
            <w:tcW w:w="9199" w:type="dxa"/>
            <w:gridSpan w:val="8"/>
            <w:tcBorders>
              <w:top w:val="single" w:sz="2" w:space="0" w:color="000000" w:themeColor="text1"/>
              <w:bottom w:val="single" w:sz="4" w:space="0" w:color="000000" w:themeColor="text1"/>
            </w:tcBorders>
          </w:tcPr>
          <w:p w14:paraId="1F105D54" w14:textId="77777777" w:rsidR="009D1C6B" w:rsidRPr="0093375D" w:rsidRDefault="009D1C6B" w:rsidP="00CD40BA">
            <w:pPr>
              <w:jc w:val="center"/>
              <w:rPr>
                <w:rFonts w:ascii="Arial" w:hAnsi="Arial" w:cs="Arial"/>
              </w:rPr>
            </w:pPr>
          </w:p>
        </w:tc>
      </w:tr>
      <w:tr w:rsidR="009D1C6B" w14:paraId="6DDA2D26" w14:textId="77777777" w:rsidTr="00CD40BA">
        <w:tc>
          <w:tcPr>
            <w:tcW w:w="9199" w:type="dxa"/>
            <w:gridSpan w:val="8"/>
            <w:tcBorders>
              <w:top w:val="single" w:sz="4" w:space="0" w:color="000000" w:themeColor="text1"/>
              <w:bottom w:val="single" w:sz="4" w:space="0" w:color="000000" w:themeColor="text1"/>
            </w:tcBorders>
          </w:tcPr>
          <w:p w14:paraId="10DF9EC2" w14:textId="77777777" w:rsidR="009D1C6B" w:rsidRPr="00380189" w:rsidRDefault="009D1C6B" w:rsidP="00CD40BA">
            <w:pPr>
              <w:jc w:val="center"/>
              <w:rPr>
                <w:rFonts w:ascii="Arial" w:hAnsi="Arial" w:cs="Arial"/>
              </w:rPr>
            </w:pPr>
            <w:r w:rsidRPr="00380189">
              <w:rPr>
                <w:rFonts w:ascii="Arial" w:hAnsi="Arial" w:cs="Arial"/>
                <w:i/>
                <w:iCs/>
              </w:rPr>
              <w:t>Sur trois mois (</w:t>
            </w:r>
            <w:r>
              <w:rPr>
                <w:rFonts w:ascii="Arial" w:hAnsi="Arial" w:cs="Arial"/>
                <w:i/>
                <w:iCs/>
              </w:rPr>
              <w:t>mai</w:t>
            </w:r>
            <w:r w:rsidRPr="00380189">
              <w:rPr>
                <w:rFonts w:ascii="Arial" w:hAnsi="Arial" w:cs="Arial"/>
                <w:i/>
                <w:iCs/>
              </w:rPr>
              <w:t xml:space="preserve"> 2024 → </w:t>
            </w:r>
            <w:r>
              <w:rPr>
                <w:rFonts w:ascii="Arial" w:hAnsi="Arial" w:cs="Arial"/>
                <w:i/>
                <w:iCs/>
              </w:rPr>
              <w:t>juil.</w:t>
            </w:r>
            <w:r w:rsidRPr="00380189">
              <w:rPr>
                <w:rFonts w:ascii="Arial" w:hAnsi="Arial" w:cs="Arial"/>
                <w:i/>
                <w:iCs/>
              </w:rPr>
              <w:t xml:space="preserve"> 2024 / </w:t>
            </w:r>
            <w:r>
              <w:rPr>
                <w:rFonts w:ascii="Arial" w:hAnsi="Arial" w:cs="Arial"/>
                <w:i/>
                <w:iCs/>
              </w:rPr>
              <w:t xml:space="preserve">mai </w:t>
            </w:r>
            <w:r w:rsidRPr="00380189">
              <w:rPr>
                <w:rFonts w:ascii="Arial" w:hAnsi="Arial" w:cs="Arial"/>
                <w:i/>
                <w:iCs/>
              </w:rPr>
              <w:t>2023 →</w:t>
            </w:r>
            <w:r>
              <w:rPr>
                <w:rFonts w:ascii="Arial" w:hAnsi="Arial" w:cs="Arial"/>
                <w:i/>
                <w:iCs/>
              </w:rPr>
              <w:t xml:space="preserve"> juil.</w:t>
            </w:r>
            <w:r w:rsidRPr="00380189">
              <w:rPr>
                <w:rFonts w:ascii="Arial" w:hAnsi="Arial" w:cs="Arial"/>
                <w:i/>
                <w:iCs/>
              </w:rPr>
              <w:t xml:space="preserve"> 2023)</w:t>
            </w:r>
          </w:p>
        </w:tc>
      </w:tr>
      <w:tr w:rsidR="009D1C6B" w14:paraId="5E16CC45" w14:textId="77777777" w:rsidTr="00CD40BA">
        <w:tc>
          <w:tcPr>
            <w:tcW w:w="2112" w:type="dxa"/>
            <w:tcBorders>
              <w:top w:val="single" w:sz="4" w:space="0" w:color="000000" w:themeColor="text1"/>
              <w:bottom w:val="single" w:sz="2" w:space="0" w:color="000000" w:themeColor="text1"/>
            </w:tcBorders>
          </w:tcPr>
          <w:p w14:paraId="6602FF3E" w14:textId="77777777" w:rsidR="009D1C6B" w:rsidRPr="00380189" w:rsidRDefault="009D1C6B" w:rsidP="00CD40BA">
            <w:pPr>
              <w:jc w:val="both"/>
              <w:rPr>
                <w:rFonts w:ascii="Arial" w:hAnsi="Arial" w:cs="Arial"/>
              </w:rPr>
            </w:pPr>
            <w:r w:rsidRPr="00380189">
              <w:rPr>
                <w:rFonts w:ascii="Arial" w:hAnsi="Arial" w:cs="Arial"/>
              </w:rPr>
              <w:t>Autorisations</w:t>
            </w:r>
          </w:p>
        </w:tc>
        <w:tc>
          <w:tcPr>
            <w:tcW w:w="992" w:type="dxa"/>
            <w:tcBorders>
              <w:top w:val="single" w:sz="4" w:space="0" w:color="000000" w:themeColor="text1"/>
              <w:bottom w:val="single" w:sz="2" w:space="0" w:color="000000" w:themeColor="text1"/>
            </w:tcBorders>
          </w:tcPr>
          <w:p w14:paraId="1C06D1DB" w14:textId="77777777" w:rsidR="009D1C6B" w:rsidRPr="00380189" w:rsidRDefault="009D1C6B" w:rsidP="00CD40BA">
            <w:pPr>
              <w:jc w:val="center"/>
              <w:rPr>
                <w:rFonts w:ascii="Arial" w:hAnsi="Arial" w:cs="Arial"/>
              </w:rPr>
            </w:pPr>
            <w:r>
              <w:rPr>
                <w:rFonts w:ascii="Arial" w:hAnsi="Arial" w:cs="Arial"/>
              </w:rPr>
              <w:t>+11,9%</w:t>
            </w:r>
          </w:p>
        </w:tc>
        <w:tc>
          <w:tcPr>
            <w:tcW w:w="992" w:type="dxa"/>
            <w:tcBorders>
              <w:top w:val="single" w:sz="4" w:space="0" w:color="000000" w:themeColor="text1"/>
              <w:bottom w:val="single" w:sz="2" w:space="0" w:color="000000" w:themeColor="text1"/>
            </w:tcBorders>
          </w:tcPr>
          <w:p w14:paraId="4CAD7A5A" w14:textId="77777777" w:rsidR="009D1C6B" w:rsidRPr="00380189" w:rsidRDefault="009D1C6B" w:rsidP="00CD40BA">
            <w:pPr>
              <w:jc w:val="center"/>
              <w:rPr>
                <w:rFonts w:ascii="Arial" w:hAnsi="Arial" w:cs="Arial"/>
              </w:rPr>
            </w:pPr>
            <w:r>
              <w:rPr>
                <w:rFonts w:ascii="Arial" w:hAnsi="Arial" w:cs="Arial"/>
              </w:rPr>
              <w:t>+27,5%</w:t>
            </w:r>
          </w:p>
        </w:tc>
        <w:tc>
          <w:tcPr>
            <w:tcW w:w="992" w:type="dxa"/>
            <w:tcBorders>
              <w:top w:val="single" w:sz="4" w:space="0" w:color="000000" w:themeColor="text1"/>
              <w:bottom w:val="single" w:sz="2" w:space="0" w:color="000000" w:themeColor="text1"/>
            </w:tcBorders>
          </w:tcPr>
          <w:p w14:paraId="363BA696" w14:textId="77777777" w:rsidR="009D1C6B" w:rsidRPr="00380189" w:rsidRDefault="009D1C6B" w:rsidP="00CD40BA">
            <w:pPr>
              <w:jc w:val="center"/>
              <w:rPr>
                <w:rFonts w:ascii="Arial" w:hAnsi="Arial" w:cs="Arial"/>
              </w:rPr>
            </w:pPr>
            <w:r>
              <w:rPr>
                <w:rFonts w:ascii="Arial" w:hAnsi="Arial" w:cs="Arial"/>
              </w:rPr>
              <w:t>-15,8 %</w:t>
            </w:r>
          </w:p>
        </w:tc>
        <w:tc>
          <w:tcPr>
            <w:tcW w:w="992" w:type="dxa"/>
            <w:tcBorders>
              <w:top w:val="single" w:sz="4" w:space="0" w:color="000000" w:themeColor="text1"/>
              <w:bottom w:val="single" w:sz="2" w:space="0" w:color="000000" w:themeColor="text1"/>
            </w:tcBorders>
          </w:tcPr>
          <w:p w14:paraId="2972A4CE" w14:textId="77777777" w:rsidR="009D1C6B" w:rsidRPr="00380189" w:rsidRDefault="009D1C6B" w:rsidP="00CD40BA">
            <w:pPr>
              <w:jc w:val="center"/>
              <w:rPr>
                <w:rFonts w:ascii="Arial" w:hAnsi="Arial" w:cs="Arial"/>
              </w:rPr>
            </w:pPr>
            <w:r>
              <w:rPr>
                <w:rFonts w:ascii="Arial" w:hAnsi="Arial" w:cs="Arial"/>
              </w:rPr>
              <w:t>-9,5 %</w:t>
            </w:r>
          </w:p>
        </w:tc>
        <w:tc>
          <w:tcPr>
            <w:tcW w:w="992" w:type="dxa"/>
            <w:tcBorders>
              <w:top w:val="single" w:sz="4" w:space="0" w:color="000000" w:themeColor="text1"/>
              <w:bottom w:val="single" w:sz="2" w:space="0" w:color="000000" w:themeColor="text1"/>
            </w:tcBorders>
          </w:tcPr>
          <w:p w14:paraId="2E294449" w14:textId="77777777" w:rsidR="009D1C6B" w:rsidRPr="00380189" w:rsidRDefault="009D1C6B" w:rsidP="00CD40BA">
            <w:pPr>
              <w:jc w:val="center"/>
              <w:rPr>
                <w:rFonts w:ascii="Arial" w:hAnsi="Arial" w:cs="Arial"/>
              </w:rPr>
            </w:pPr>
            <w:r>
              <w:rPr>
                <w:rFonts w:ascii="Arial" w:hAnsi="Arial" w:cs="Arial"/>
              </w:rPr>
              <w:t>-2,0 %</w:t>
            </w:r>
          </w:p>
        </w:tc>
        <w:tc>
          <w:tcPr>
            <w:tcW w:w="1135" w:type="dxa"/>
            <w:tcBorders>
              <w:top w:val="single" w:sz="4" w:space="0" w:color="000000" w:themeColor="text1"/>
              <w:bottom w:val="single" w:sz="2" w:space="0" w:color="000000" w:themeColor="text1"/>
            </w:tcBorders>
          </w:tcPr>
          <w:p w14:paraId="002D6902" w14:textId="77777777" w:rsidR="009D1C6B" w:rsidRPr="00380189" w:rsidRDefault="009D1C6B" w:rsidP="00CD40BA">
            <w:pPr>
              <w:jc w:val="center"/>
              <w:rPr>
                <w:rFonts w:ascii="Arial" w:hAnsi="Arial" w:cs="Arial"/>
              </w:rPr>
            </w:pPr>
            <w:r>
              <w:rPr>
                <w:rFonts w:ascii="Arial" w:hAnsi="Arial" w:cs="Arial"/>
              </w:rPr>
              <w:t>+10,0 %</w:t>
            </w:r>
          </w:p>
        </w:tc>
        <w:tc>
          <w:tcPr>
            <w:tcW w:w="992" w:type="dxa"/>
            <w:tcBorders>
              <w:top w:val="single" w:sz="4" w:space="0" w:color="000000" w:themeColor="text1"/>
              <w:bottom w:val="single" w:sz="2" w:space="0" w:color="000000" w:themeColor="text1"/>
            </w:tcBorders>
          </w:tcPr>
          <w:p w14:paraId="692225F3" w14:textId="77777777" w:rsidR="009D1C6B" w:rsidRPr="00380189" w:rsidRDefault="009D1C6B" w:rsidP="00CD40BA">
            <w:pPr>
              <w:jc w:val="center"/>
              <w:rPr>
                <w:rFonts w:ascii="Arial" w:hAnsi="Arial" w:cs="Arial"/>
              </w:rPr>
            </w:pPr>
            <w:r>
              <w:rPr>
                <w:rFonts w:ascii="Arial" w:hAnsi="Arial" w:cs="Arial"/>
              </w:rPr>
              <w:t>-2,2 %</w:t>
            </w:r>
          </w:p>
        </w:tc>
      </w:tr>
      <w:tr w:rsidR="009D1C6B" w14:paraId="7582BC68" w14:textId="77777777" w:rsidTr="00CD40BA">
        <w:tc>
          <w:tcPr>
            <w:tcW w:w="2112" w:type="dxa"/>
            <w:tcBorders>
              <w:top w:val="dashSmallGap" w:sz="4" w:space="0" w:color="000000" w:themeColor="text1"/>
              <w:bottom w:val="single" w:sz="4" w:space="0" w:color="000000" w:themeColor="text1"/>
            </w:tcBorders>
          </w:tcPr>
          <w:p w14:paraId="2BA757FF" w14:textId="77777777" w:rsidR="009D1C6B" w:rsidRPr="00380189" w:rsidRDefault="009D1C6B" w:rsidP="00CD40BA">
            <w:pPr>
              <w:jc w:val="both"/>
              <w:rPr>
                <w:rFonts w:ascii="Arial" w:hAnsi="Arial" w:cs="Arial"/>
              </w:rPr>
            </w:pPr>
            <w:r w:rsidRPr="00380189">
              <w:rPr>
                <w:rFonts w:ascii="Arial" w:hAnsi="Arial" w:cs="Arial"/>
              </w:rPr>
              <w:t>Mises en chantier</w:t>
            </w:r>
          </w:p>
        </w:tc>
        <w:tc>
          <w:tcPr>
            <w:tcW w:w="992" w:type="dxa"/>
            <w:tcBorders>
              <w:top w:val="dashSmallGap" w:sz="4" w:space="0" w:color="000000" w:themeColor="text1"/>
              <w:bottom w:val="single" w:sz="4" w:space="0" w:color="000000" w:themeColor="text1"/>
            </w:tcBorders>
          </w:tcPr>
          <w:p w14:paraId="4DE79ED0" w14:textId="77777777" w:rsidR="009D1C6B" w:rsidRPr="00380189" w:rsidRDefault="009D1C6B" w:rsidP="00CD40BA">
            <w:pPr>
              <w:jc w:val="center"/>
              <w:rPr>
                <w:rFonts w:ascii="Arial" w:hAnsi="Arial" w:cs="Arial"/>
              </w:rPr>
            </w:pPr>
            <w:r>
              <w:rPr>
                <w:rFonts w:ascii="Arial" w:hAnsi="Arial" w:cs="Arial"/>
              </w:rPr>
              <w:t>-14,0 %</w:t>
            </w:r>
          </w:p>
        </w:tc>
        <w:tc>
          <w:tcPr>
            <w:tcW w:w="992" w:type="dxa"/>
            <w:tcBorders>
              <w:top w:val="dashSmallGap" w:sz="4" w:space="0" w:color="000000" w:themeColor="text1"/>
              <w:bottom w:val="single" w:sz="4" w:space="0" w:color="000000" w:themeColor="text1"/>
            </w:tcBorders>
          </w:tcPr>
          <w:p w14:paraId="49C46ED9" w14:textId="77777777" w:rsidR="009D1C6B" w:rsidRPr="00380189" w:rsidRDefault="009D1C6B" w:rsidP="00CD40BA">
            <w:pPr>
              <w:jc w:val="center"/>
              <w:rPr>
                <w:rFonts w:ascii="Arial" w:hAnsi="Arial" w:cs="Arial"/>
              </w:rPr>
            </w:pPr>
            <w:r>
              <w:rPr>
                <w:rFonts w:ascii="Arial" w:hAnsi="Arial" w:cs="Arial"/>
              </w:rPr>
              <w:t>-3,7 %</w:t>
            </w:r>
          </w:p>
        </w:tc>
        <w:tc>
          <w:tcPr>
            <w:tcW w:w="992" w:type="dxa"/>
            <w:tcBorders>
              <w:top w:val="dashSmallGap" w:sz="4" w:space="0" w:color="000000" w:themeColor="text1"/>
              <w:bottom w:val="single" w:sz="4" w:space="0" w:color="000000" w:themeColor="text1"/>
            </w:tcBorders>
          </w:tcPr>
          <w:p w14:paraId="0FDD5A25" w14:textId="77777777" w:rsidR="009D1C6B" w:rsidRPr="00380189" w:rsidRDefault="009D1C6B" w:rsidP="00CD40BA">
            <w:pPr>
              <w:jc w:val="center"/>
              <w:rPr>
                <w:rFonts w:ascii="Arial" w:hAnsi="Arial" w:cs="Arial"/>
              </w:rPr>
            </w:pPr>
            <w:r>
              <w:rPr>
                <w:rFonts w:ascii="Arial" w:hAnsi="Arial" w:cs="Arial"/>
              </w:rPr>
              <w:t>-0,4 %</w:t>
            </w:r>
          </w:p>
        </w:tc>
        <w:tc>
          <w:tcPr>
            <w:tcW w:w="992" w:type="dxa"/>
            <w:tcBorders>
              <w:top w:val="dashSmallGap" w:sz="4" w:space="0" w:color="000000" w:themeColor="text1"/>
              <w:bottom w:val="single" w:sz="4" w:space="0" w:color="000000" w:themeColor="text1"/>
            </w:tcBorders>
          </w:tcPr>
          <w:p w14:paraId="39D7F2B7" w14:textId="77777777" w:rsidR="009D1C6B" w:rsidRPr="00380189" w:rsidRDefault="009D1C6B" w:rsidP="00CD40BA">
            <w:pPr>
              <w:jc w:val="center"/>
              <w:rPr>
                <w:rFonts w:ascii="Arial" w:hAnsi="Arial" w:cs="Arial"/>
              </w:rPr>
            </w:pPr>
            <w:r>
              <w:rPr>
                <w:rFonts w:ascii="Arial" w:hAnsi="Arial" w:cs="Arial"/>
              </w:rPr>
              <w:t>-20,5 %</w:t>
            </w:r>
          </w:p>
        </w:tc>
        <w:tc>
          <w:tcPr>
            <w:tcW w:w="992" w:type="dxa"/>
            <w:tcBorders>
              <w:top w:val="dashSmallGap" w:sz="4" w:space="0" w:color="000000" w:themeColor="text1"/>
              <w:bottom w:val="single" w:sz="4" w:space="0" w:color="000000" w:themeColor="text1"/>
            </w:tcBorders>
          </w:tcPr>
          <w:p w14:paraId="2C8735F1" w14:textId="77777777" w:rsidR="009D1C6B" w:rsidRPr="00380189" w:rsidRDefault="009D1C6B" w:rsidP="00CD40BA">
            <w:pPr>
              <w:jc w:val="center"/>
              <w:rPr>
                <w:rFonts w:ascii="Arial" w:hAnsi="Arial" w:cs="Arial"/>
              </w:rPr>
            </w:pPr>
            <w:r>
              <w:rPr>
                <w:rFonts w:ascii="Arial" w:hAnsi="Arial" w:cs="Arial"/>
              </w:rPr>
              <w:t>+0,3 %</w:t>
            </w:r>
          </w:p>
        </w:tc>
        <w:tc>
          <w:tcPr>
            <w:tcW w:w="1135" w:type="dxa"/>
            <w:tcBorders>
              <w:top w:val="dashSmallGap" w:sz="4" w:space="0" w:color="000000" w:themeColor="text1"/>
              <w:bottom w:val="single" w:sz="4" w:space="0" w:color="000000" w:themeColor="text1"/>
            </w:tcBorders>
          </w:tcPr>
          <w:p w14:paraId="5A2D21C3" w14:textId="77777777" w:rsidR="009D1C6B" w:rsidRPr="00380189" w:rsidRDefault="009D1C6B" w:rsidP="00CD40BA">
            <w:pPr>
              <w:jc w:val="center"/>
              <w:rPr>
                <w:rFonts w:ascii="Arial" w:hAnsi="Arial" w:cs="Arial"/>
              </w:rPr>
            </w:pPr>
            <w:r>
              <w:rPr>
                <w:rFonts w:ascii="Arial" w:hAnsi="Arial" w:cs="Arial"/>
              </w:rPr>
              <w:t>+11,7 %</w:t>
            </w:r>
          </w:p>
        </w:tc>
        <w:tc>
          <w:tcPr>
            <w:tcW w:w="992" w:type="dxa"/>
            <w:tcBorders>
              <w:top w:val="dashSmallGap" w:sz="4" w:space="0" w:color="000000" w:themeColor="text1"/>
              <w:bottom w:val="single" w:sz="4" w:space="0" w:color="000000" w:themeColor="text1"/>
            </w:tcBorders>
          </w:tcPr>
          <w:p w14:paraId="10750D0F" w14:textId="77777777" w:rsidR="009D1C6B" w:rsidRPr="00380189" w:rsidRDefault="009D1C6B" w:rsidP="00CD40BA">
            <w:pPr>
              <w:jc w:val="center"/>
              <w:rPr>
                <w:rFonts w:ascii="Arial" w:hAnsi="Arial" w:cs="Arial"/>
              </w:rPr>
            </w:pPr>
            <w:r>
              <w:rPr>
                <w:rFonts w:ascii="Arial" w:hAnsi="Arial" w:cs="Arial"/>
              </w:rPr>
              <w:t>-2,0 %</w:t>
            </w:r>
          </w:p>
        </w:tc>
      </w:tr>
      <w:tr w:rsidR="009D1C6B" w14:paraId="3DB1830D" w14:textId="77777777" w:rsidTr="00CD40BA">
        <w:tc>
          <w:tcPr>
            <w:tcW w:w="9199" w:type="dxa"/>
            <w:gridSpan w:val="8"/>
            <w:tcBorders>
              <w:top w:val="single" w:sz="4" w:space="0" w:color="000000" w:themeColor="text1"/>
              <w:bottom w:val="single" w:sz="4" w:space="0" w:color="000000" w:themeColor="text1"/>
            </w:tcBorders>
          </w:tcPr>
          <w:p w14:paraId="3382D852" w14:textId="77777777" w:rsidR="009D1C6B" w:rsidRPr="00380189" w:rsidRDefault="009D1C6B" w:rsidP="00CD40BA">
            <w:pPr>
              <w:jc w:val="center"/>
              <w:rPr>
                <w:rFonts w:ascii="Arial" w:hAnsi="Arial" w:cs="Arial"/>
              </w:rPr>
            </w:pPr>
          </w:p>
        </w:tc>
      </w:tr>
      <w:tr w:rsidR="009D1C6B" w:rsidRPr="00EB7295" w14:paraId="5E14EF25" w14:textId="77777777" w:rsidTr="00CD40BA">
        <w:tc>
          <w:tcPr>
            <w:tcW w:w="9199" w:type="dxa"/>
            <w:gridSpan w:val="8"/>
            <w:tcBorders>
              <w:top w:val="single" w:sz="4" w:space="0" w:color="000000" w:themeColor="text1"/>
              <w:bottom w:val="single" w:sz="4" w:space="0" w:color="000000" w:themeColor="text1"/>
            </w:tcBorders>
          </w:tcPr>
          <w:p w14:paraId="5DFD6B94" w14:textId="77777777" w:rsidR="009D1C6B" w:rsidRPr="00EB7295" w:rsidRDefault="009D1C6B" w:rsidP="00CD40BA">
            <w:pPr>
              <w:jc w:val="center"/>
              <w:rPr>
                <w:rFonts w:ascii="Arial" w:hAnsi="Arial" w:cs="Arial"/>
                <w:b/>
                <w:bCs/>
              </w:rPr>
            </w:pPr>
            <w:r w:rsidRPr="006A74E9">
              <w:rPr>
                <w:rFonts w:ascii="Arial" w:hAnsi="Arial" w:cs="Arial"/>
                <w:i/>
                <w:iCs/>
              </w:rPr>
              <w:t xml:space="preserve">Sur </w:t>
            </w:r>
            <w:r>
              <w:rPr>
                <w:rFonts w:ascii="Arial" w:hAnsi="Arial" w:cs="Arial"/>
                <w:i/>
                <w:iCs/>
              </w:rPr>
              <w:t>six</w:t>
            </w:r>
            <w:r w:rsidRPr="006A74E9">
              <w:rPr>
                <w:rFonts w:ascii="Arial" w:hAnsi="Arial" w:cs="Arial"/>
                <w:i/>
                <w:iCs/>
              </w:rPr>
              <w:t xml:space="preserve"> mois (</w:t>
            </w:r>
            <w:r>
              <w:rPr>
                <w:rFonts w:ascii="Arial" w:hAnsi="Arial" w:cs="Arial"/>
                <w:i/>
                <w:iCs/>
              </w:rPr>
              <w:t>fév</w:t>
            </w:r>
            <w:r w:rsidRPr="006A74E9">
              <w:rPr>
                <w:rFonts w:ascii="Arial" w:hAnsi="Arial" w:cs="Arial"/>
                <w:i/>
                <w:iCs/>
              </w:rPr>
              <w:t xml:space="preserve">. 2024 → </w:t>
            </w:r>
            <w:r>
              <w:rPr>
                <w:rFonts w:ascii="Arial" w:hAnsi="Arial" w:cs="Arial"/>
                <w:i/>
                <w:iCs/>
              </w:rPr>
              <w:t>juil.</w:t>
            </w:r>
            <w:r w:rsidRPr="006A74E9">
              <w:rPr>
                <w:rFonts w:ascii="Arial" w:hAnsi="Arial" w:cs="Arial"/>
                <w:i/>
                <w:iCs/>
              </w:rPr>
              <w:t xml:space="preserve"> 2024 / </w:t>
            </w:r>
            <w:r>
              <w:rPr>
                <w:rFonts w:ascii="Arial" w:hAnsi="Arial" w:cs="Arial"/>
                <w:i/>
                <w:iCs/>
              </w:rPr>
              <w:t>fév. 2</w:t>
            </w:r>
            <w:r w:rsidRPr="006A74E9">
              <w:rPr>
                <w:rFonts w:ascii="Arial" w:hAnsi="Arial" w:cs="Arial"/>
                <w:i/>
                <w:iCs/>
              </w:rPr>
              <w:t xml:space="preserve">023 → </w:t>
            </w:r>
            <w:r>
              <w:rPr>
                <w:rFonts w:ascii="Arial" w:hAnsi="Arial" w:cs="Arial"/>
                <w:i/>
                <w:iCs/>
              </w:rPr>
              <w:t>juil.</w:t>
            </w:r>
            <w:r w:rsidRPr="006A74E9">
              <w:rPr>
                <w:rFonts w:ascii="Arial" w:hAnsi="Arial" w:cs="Arial"/>
                <w:i/>
                <w:iCs/>
              </w:rPr>
              <w:t xml:space="preserve"> 2023)</w:t>
            </w:r>
          </w:p>
        </w:tc>
      </w:tr>
      <w:tr w:rsidR="009D1C6B" w:rsidRPr="00EB7295" w14:paraId="5F0EC44C" w14:textId="77777777" w:rsidTr="00CD40BA">
        <w:tc>
          <w:tcPr>
            <w:tcW w:w="2112" w:type="dxa"/>
            <w:tcBorders>
              <w:top w:val="single" w:sz="4" w:space="0" w:color="000000" w:themeColor="text1"/>
              <w:bottom w:val="single" w:sz="2" w:space="0" w:color="000000" w:themeColor="text1"/>
            </w:tcBorders>
          </w:tcPr>
          <w:p w14:paraId="64274B3C" w14:textId="77777777" w:rsidR="009D1C6B" w:rsidRPr="00D90749" w:rsidRDefault="009D1C6B" w:rsidP="00CD40BA">
            <w:pPr>
              <w:jc w:val="both"/>
              <w:rPr>
                <w:rFonts w:ascii="Arial" w:hAnsi="Arial" w:cs="Arial"/>
              </w:rPr>
            </w:pPr>
            <w:r w:rsidRPr="00D90749">
              <w:rPr>
                <w:rFonts w:ascii="Arial" w:hAnsi="Arial" w:cs="Arial"/>
              </w:rPr>
              <w:t>Autorisations</w:t>
            </w:r>
          </w:p>
        </w:tc>
        <w:tc>
          <w:tcPr>
            <w:tcW w:w="992" w:type="dxa"/>
            <w:tcBorders>
              <w:top w:val="single" w:sz="4" w:space="0" w:color="000000" w:themeColor="text1"/>
              <w:bottom w:val="single" w:sz="2" w:space="0" w:color="000000" w:themeColor="text1"/>
            </w:tcBorders>
          </w:tcPr>
          <w:p w14:paraId="527E331C" w14:textId="77777777" w:rsidR="009D1C6B" w:rsidRPr="00D90749" w:rsidRDefault="009D1C6B" w:rsidP="00CD40BA">
            <w:pPr>
              <w:jc w:val="center"/>
              <w:rPr>
                <w:rFonts w:ascii="Arial" w:hAnsi="Arial" w:cs="Arial"/>
              </w:rPr>
            </w:pPr>
            <w:r>
              <w:rPr>
                <w:rFonts w:ascii="Arial" w:hAnsi="Arial" w:cs="Arial"/>
              </w:rPr>
              <w:t>+11,5%</w:t>
            </w:r>
          </w:p>
        </w:tc>
        <w:tc>
          <w:tcPr>
            <w:tcW w:w="992" w:type="dxa"/>
            <w:tcBorders>
              <w:top w:val="single" w:sz="4" w:space="0" w:color="000000" w:themeColor="text1"/>
              <w:bottom w:val="single" w:sz="2" w:space="0" w:color="000000" w:themeColor="text1"/>
            </w:tcBorders>
          </w:tcPr>
          <w:p w14:paraId="4E7B8BBE" w14:textId="77777777" w:rsidR="009D1C6B" w:rsidRPr="00D90749" w:rsidRDefault="009D1C6B" w:rsidP="00CD40BA">
            <w:pPr>
              <w:jc w:val="center"/>
              <w:rPr>
                <w:rFonts w:ascii="Arial" w:hAnsi="Arial" w:cs="Arial"/>
              </w:rPr>
            </w:pPr>
            <w:r>
              <w:rPr>
                <w:rFonts w:ascii="Arial" w:hAnsi="Arial" w:cs="Arial"/>
              </w:rPr>
              <w:t>+22,3%</w:t>
            </w:r>
          </w:p>
        </w:tc>
        <w:tc>
          <w:tcPr>
            <w:tcW w:w="992" w:type="dxa"/>
            <w:tcBorders>
              <w:top w:val="single" w:sz="4" w:space="0" w:color="000000" w:themeColor="text1"/>
              <w:bottom w:val="single" w:sz="2" w:space="0" w:color="000000" w:themeColor="text1"/>
            </w:tcBorders>
          </w:tcPr>
          <w:p w14:paraId="74ACD84E" w14:textId="77777777" w:rsidR="009D1C6B" w:rsidRPr="00D90749" w:rsidRDefault="009D1C6B" w:rsidP="00CD40BA">
            <w:pPr>
              <w:jc w:val="center"/>
              <w:rPr>
                <w:rFonts w:ascii="Arial" w:hAnsi="Arial" w:cs="Arial"/>
              </w:rPr>
            </w:pPr>
            <w:r>
              <w:rPr>
                <w:rFonts w:ascii="Arial" w:hAnsi="Arial" w:cs="Arial"/>
              </w:rPr>
              <w:t>-11,6 %</w:t>
            </w:r>
          </w:p>
        </w:tc>
        <w:tc>
          <w:tcPr>
            <w:tcW w:w="992" w:type="dxa"/>
            <w:tcBorders>
              <w:top w:val="single" w:sz="4" w:space="0" w:color="000000" w:themeColor="text1"/>
              <w:bottom w:val="single" w:sz="2" w:space="0" w:color="000000" w:themeColor="text1"/>
            </w:tcBorders>
          </w:tcPr>
          <w:p w14:paraId="25F311D6" w14:textId="77777777" w:rsidR="009D1C6B" w:rsidRPr="00D90749" w:rsidRDefault="009D1C6B" w:rsidP="00CD40BA">
            <w:pPr>
              <w:jc w:val="center"/>
              <w:rPr>
                <w:rFonts w:ascii="Arial" w:hAnsi="Arial" w:cs="Arial"/>
              </w:rPr>
            </w:pPr>
            <w:r>
              <w:rPr>
                <w:rFonts w:ascii="Arial" w:hAnsi="Arial" w:cs="Arial"/>
              </w:rPr>
              <w:t>-7,7 %</w:t>
            </w:r>
          </w:p>
        </w:tc>
        <w:tc>
          <w:tcPr>
            <w:tcW w:w="992" w:type="dxa"/>
            <w:tcBorders>
              <w:top w:val="single" w:sz="4" w:space="0" w:color="000000" w:themeColor="text1"/>
              <w:bottom w:val="single" w:sz="2" w:space="0" w:color="000000" w:themeColor="text1"/>
            </w:tcBorders>
          </w:tcPr>
          <w:p w14:paraId="79000EFD" w14:textId="77777777" w:rsidR="009D1C6B" w:rsidRPr="00D90749" w:rsidRDefault="009D1C6B" w:rsidP="00CD40BA">
            <w:pPr>
              <w:jc w:val="center"/>
              <w:rPr>
                <w:rFonts w:ascii="Arial" w:hAnsi="Arial" w:cs="Arial"/>
              </w:rPr>
            </w:pPr>
            <w:r>
              <w:rPr>
                <w:rFonts w:ascii="Arial" w:hAnsi="Arial" w:cs="Arial"/>
              </w:rPr>
              <w:t>-4,6 %</w:t>
            </w:r>
          </w:p>
        </w:tc>
        <w:tc>
          <w:tcPr>
            <w:tcW w:w="1135" w:type="dxa"/>
            <w:tcBorders>
              <w:top w:val="single" w:sz="4" w:space="0" w:color="000000" w:themeColor="text1"/>
              <w:bottom w:val="single" w:sz="2" w:space="0" w:color="000000" w:themeColor="text1"/>
            </w:tcBorders>
          </w:tcPr>
          <w:p w14:paraId="124BEE5C" w14:textId="77777777" w:rsidR="009D1C6B" w:rsidRPr="00D90749" w:rsidRDefault="009D1C6B" w:rsidP="00CD40BA">
            <w:pPr>
              <w:jc w:val="center"/>
              <w:rPr>
                <w:rFonts w:ascii="Arial" w:hAnsi="Arial" w:cs="Arial"/>
              </w:rPr>
            </w:pPr>
            <w:r>
              <w:rPr>
                <w:rFonts w:ascii="Arial" w:hAnsi="Arial" w:cs="Arial"/>
              </w:rPr>
              <w:t>+14,0 %</w:t>
            </w:r>
          </w:p>
        </w:tc>
        <w:tc>
          <w:tcPr>
            <w:tcW w:w="992" w:type="dxa"/>
            <w:tcBorders>
              <w:top w:val="single" w:sz="4" w:space="0" w:color="000000" w:themeColor="text1"/>
              <w:bottom w:val="single" w:sz="2" w:space="0" w:color="000000" w:themeColor="text1"/>
            </w:tcBorders>
          </w:tcPr>
          <w:p w14:paraId="0603E903" w14:textId="77777777" w:rsidR="009D1C6B" w:rsidRPr="00D90749" w:rsidRDefault="009D1C6B" w:rsidP="00CD40BA">
            <w:pPr>
              <w:jc w:val="center"/>
              <w:rPr>
                <w:rFonts w:ascii="Arial" w:hAnsi="Arial" w:cs="Arial"/>
              </w:rPr>
            </w:pPr>
            <w:r>
              <w:rPr>
                <w:rFonts w:ascii="Arial" w:hAnsi="Arial" w:cs="Arial"/>
              </w:rPr>
              <w:t>-0,5 %</w:t>
            </w:r>
          </w:p>
        </w:tc>
      </w:tr>
      <w:tr w:rsidR="009D1C6B" w:rsidRPr="00EB7295" w14:paraId="717B1274" w14:textId="77777777" w:rsidTr="00CD40BA">
        <w:tc>
          <w:tcPr>
            <w:tcW w:w="2112" w:type="dxa"/>
            <w:tcBorders>
              <w:top w:val="dashSmallGap" w:sz="4" w:space="0" w:color="000000" w:themeColor="text1"/>
              <w:bottom w:val="single" w:sz="2" w:space="0" w:color="000000" w:themeColor="text1"/>
            </w:tcBorders>
          </w:tcPr>
          <w:p w14:paraId="548D77E4" w14:textId="77777777" w:rsidR="009D1C6B" w:rsidRPr="00D90749" w:rsidRDefault="009D1C6B" w:rsidP="00CD40BA">
            <w:pPr>
              <w:jc w:val="both"/>
              <w:rPr>
                <w:rFonts w:ascii="Arial" w:hAnsi="Arial" w:cs="Arial"/>
              </w:rPr>
            </w:pPr>
            <w:r w:rsidRPr="00D90749">
              <w:rPr>
                <w:rFonts w:ascii="Arial" w:hAnsi="Arial" w:cs="Arial"/>
              </w:rPr>
              <w:t>Mises en chantier</w:t>
            </w:r>
          </w:p>
        </w:tc>
        <w:tc>
          <w:tcPr>
            <w:tcW w:w="992" w:type="dxa"/>
            <w:tcBorders>
              <w:top w:val="dashSmallGap" w:sz="4" w:space="0" w:color="000000" w:themeColor="text1"/>
              <w:bottom w:val="single" w:sz="2" w:space="0" w:color="000000" w:themeColor="text1"/>
            </w:tcBorders>
          </w:tcPr>
          <w:p w14:paraId="523D4F54" w14:textId="77777777" w:rsidR="009D1C6B" w:rsidRPr="00D90749" w:rsidRDefault="009D1C6B" w:rsidP="00CD40BA">
            <w:pPr>
              <w:jc w:val="center"/>
              <w:rPr>
                <w:rFonts w:ascii="Arial" w:hAnsi="Arial" w:cs="Arial"/>
              </w:rPr>
            </w:pPr>
            <w:r>
              <w:rPr>
                <w:rFonts w:ascii="Arial" w:hAnsi="Arial" w:cs="Arial"/>
              </w:rPr>
              <w:t>-21,1 %</w:t>
            </w:r>
          </w:p>
        </w:tc>
        <w:tc>
          <w:tcPr>
            <w:tcW w:w="992" w:type="dxa"/>
            <w:tcBorders>
              <w:top w:val="dashSmallGap" w:sz="4" w:space="0" w:color="000000" w:themeColor="text1"/>
              <w:bottom w:val="single" w:sz="2" w:space="0" w:color="000000" w:themeColor="text1"/>
            </w:tcBorders>
          </w:tcPr>
          <w:p w14:paraId="151919C4" w14:textId="77777777" w:rsidR="009D1C6B" w:rsidRPr="00D90749" w:rsidRDefault="009D1C6B" w:rsidP="00CD40BA">
            <w:pPr>
              <w:jc w:val="center"/>
              <w:rPr>
                <w:rFonts w:ascii="Arial" w:hAnsi="Arial" w:cs="Arial"/>
              </w:rPr>
            </w:pPr>
            <w:r>
              <w:rPr>
                <w:rFonts w:ascii="Arial" w:hAnsi="Arial" w:cs="Arial"/>
              </w:rPr>
              <w:t>-6,1 %</w:t>
            </w:r>
          </w:p>
        </w:tc>
        <w:tc>
          <w:tcPr>
            <w:tcW w:w="992" w:type="dxa"/>
            <w:tcBorders>
              <w:top w:val="dashSmallGap" w:sz="4" w:space="0" w:color="000000" w:themeColor="text1"/>
              <w:bottom w:val="single" w:sz="2" w:space="0" w:color="000000" w:themeColor="text1"/>
            </w:tcBorders>
          </w:tcPr>
          <w:p w14:paraId="7EFE3C48" w14:textId="77777777" w:rsidR="009D1C6B" w:rsidRPr="00D90749" w:rsidRDefault="009D1C6B" w:rsidP="00CD40BA">
            <w:pPr>
              <w:jc w:val="center"/>
              <w:rPr>
                <w:rFonts w:ascii="Arial" w:hAnsi="Arial" w:cs="Arial"/>
              </w:rPr>
            </w:pPr>
            <w:r>
              <w:rPr>
                <w:rFonts w:ascii="Arial" w:hAnsi="Arial" w:cs="Arial"/>
              </w:rPr>
              <w:t>-1,5 %</w:t>
            </w:r>
          </w:p>
        </w:tc>
        <w:tc>
          <w:tcPr>
            <w:tcW w:w="992" w:type="dxa"/>
            <w:tcBorders>
              <w:top w:val="dashSmallGap" w:sz="4" w:space="0" w:color="000000" w:themeColor="text1"/>
              <w:bottom w:val="single" w:sz="2" w:space="0" w:color="000000" w:themeColor="text1"/>
            </w:tcBorders>
          </w:tcPr>
          <w:p w14:paraId="7A5B8C51" w14:textId="77777777" w:rsidR="009D1C6B" w:rsidRPr="00D90749" w:rsidRDefault="009D1C6B" w:rsidP="00CD40BA">
            <w:pPr>
              <w:jc w:val="center"/>
              <w:rPr>
                <w:rFonts w:ascii="Arial" w:hAnsi="Arial" w:cs="Arial"/>
              </w:rPr>
            </w:pPr>
            <w:r>
              <w:rPr>
                <w:rFonts w:ascii="Arial" w:hAnsi="Arial" w:cs="Arial"/>
              </w:rPr>
              <w:t>-21,4 %</w:t>
            </w:r>
          </w:p>
        </w:tc>
        <w:tc>
          <w:tcPr>
            <w:tcW w:w="992" w:type="dxa"/>
            <w:tcBorders>
              <w:top w:val="dashSmallGap" w:sz="4" w:space="0" w:color="000000" w:themeColor="text1"/>
              <w:bottom w:val="single" w:sz="2" w:space="0" w:color="000000" w:themeColor="text1"/>
            </w:tcBorders>
          </w:tcPr>
          <w:p w14:paraId="2522EA80" w14:textId="77777777" w:rsidR="009D1C6B" w:rsidRPr="00D90749" w:rsidRDefault="009D1C6B" w:rsidP="00CD40BA">
            <w:pPr>
              <w:jc w:val="center"/>
              <w:rPr>
                <w:rFonts w:ascii="Arial" w:hAnsi="Arial" w:cs="Arial"/>
              </w:rPr>
            </w:pPr>
            <w:r>
              <w:rPr>
                <w:rFonts w:ascii="Arial" w:hAnsi="Arial" w:cs="Arial"/>
              </w:rPr>
              <w:t>+2,2 %</w:t>
            </w:r>
          </w:p>
        </w:tc>
        <w:tc>
          <w:tcPr>
            <w:tcW w:w="1135" w:type="dxa"/>
            <w:tcBorders>
              <w:top w:val="dashSmallGap" w:sz="4" w:space="0" w:color="000000" w:themeColor="text1"/>
              <w:bottom w:val="single" w:sz="2" w:space="0" w:color="000000" w:themeColor="text1"/>
            </w:tcBorders>
          </w:tcPr>
          <w:p w14:paraId="478AF9B4" w14:textId="77777777" w:rsidR="009D1C6B" w:rsidRPr="00D90749" w:rsidRDefault="009D1C6B" w:rsidP="00CD40BA">
            <w:pPr>
              <w:jc w:val="center"/>
              <w:rPr>
                <w:rFonts w:ascii="Arial" w:hAnsi="Arial" w:cs="Arial"/>
              </w:rPr>
            </w:pPr>
            <w:r>
              <w:rPr>
                <w:rFonts w:ascii="Arial" w:hAnsi="Arial" w:cs="Arial"/>
              </w:rPr>
              <w:t>-1,2 %</w:t>
            </w:r>
          </w:p>
        </w:tc>
        <w:tc>
          <w:tcPr>
            <w:tcW w:w="992" w:type="dxa"/>
            <w:tcBorders>
              <w:top w:val="dashSmallGap" w:sz="4" w:space="0" w:color="000000" w:themeColor="text1"/>
              <w:bottom w:val="single" w:sz="2" w:space="0" w:color="000000" w:themeColor="text1"/>
            </w:tcBorders>
          </w:tcPr>
          <w:p w14:paraId="399A59FD" w14:textId="77777777" w:rsidR="009D1C6B" w:rsidRPr="00D90749" w:rsidRDefault="009D1C6B" w:rsidP="00CD40BA">
            <w:pPr>
              <w:jc w:val="center"/>
              <w:rPr>
                <w:rFonts w:ascii="Arial" w:hAnsi="Arial" w:cs="Arial"/>
              </w:rPr>
            </w:pPr>
            <w:r>
              <w:rPr>
                <w:rFonts w:ascii="Arial" w:hAnsi="Arial" w:cs="Arial"/>
              </w:rPr>
              <w:t>-5,2 %</w:t>
            </w:r>
          </w:p>
        </w:tc>
      </w:tr>
      <w:tr w:rsidR="009D1C6B" w14:paraId="58E5FCF5" w14:textId="77777777" w:rsidTr="00CD40BA">
        <w:tc>
          <w:tcPr>
            <w:tcW w:w="9199" w:type="dxa"/>
            <w:gridSpan w:val="8"/>
            <w:tcBorders>
              <w:top w:val="single" w:sz="2" w:space="0" w:color="000000" w:themeColor="text1"/>
              <w:bottom w:val="single" w:sz="2" w:space="0" w:color="000000" w:themeColor="text1"/>
            </w:tcBorders>
          </w:tcPr>
          <w:p w14:paraId="197FDA4A" w14:textId="77777777" w:rsidR="009D1C6B" w:rsidRPr="00C1552A" w:rsidRDefault="009D1C6B" w:rsidP="00CD40BA">
            <w:pPr>
              <w:jc w:val="center"/>
              <w:rPr>
                <w:rFonts w:ascii="Arial" w:hAnsi="Arial" w:cs="Arial"/>
              </w:rPr>
            </w:pPr>
          </w:p>
        </w:tc>
      </w:tr>
      <w:tr w:rsidR="009D1C6B" w14:paraId="748EEC3B" w14:textId="77777777" w:rsidTr="00CD40BA">
        <w:tc>
          <w:tcPr>
            <w:tcW w:w="9199" w:type="dxa"/>
            <w:gridSpan w:val="8"/>
            <w:tcBorders>
              <w:top w:val="single" w:sz="2" w:space="0" w:color="000000" w:themeColor="text1"/>
              <w:bottom w:val="single" w:sz="4" w:space="0" w:color="000000" w:themeColor="text1"/>
            </w:tcBorders>
          </w:tcPr>
          <w:p w14:paraId="0A262610" w14:textId="373DE02E" w:rsidR="009D1C6B" w:rsidRPr="00C1552A" w:rsidRDefault="009D1C6B" w:rsidP="00CD40BA">
            <w:pPr>
              <w:jc w:val="center"/>
              <w:rPr>
                <w:rFonts w:ascii="Arial" w:hAnsi="Arial" w:cs="Arial"/>
              </w:rPr>
            </w:pPr>
            <w:r w:rsidRPr="006A74E9">
              <w:rPr>
                <w:rFonts w:ascii="Arial" w:hAnsi="Arial" w:cs="Arial"/>
                <w:b/>
                <w:bCs/>
                <w:i/>
                <w:iCs/>
              </w:rPr>
              <w:t>Sur s</w:t>
            </w:r>
            <w:r>
              <w:rPr>
                <w:rFonts w:ascii="Arial" w:hAnsi="Arial" w:cs="Arial"/>
                <w:b/>
                <w:bCs/>
                <w:i/>
                <w:iCs/>
              </w:rPr>
              <w:t>ept</w:t>
            </w:r>
            <w:r w:rsidRPr="006A74E9">
              <w:rPr>
                <w:rFonts w:ascii="Arial" w:hAnsi="Arial" w:cs="Arial"/>
                <w:b/>
                <w:bCs/>
                <w:i/>
                <w:iCs/>
              </w:rPr>
              <w:t xml:space="preserve"> mois (</w:t>
            </w:r>
            <w:r>
              <w:rPr>
                <w:rFonts w:ascii="Arial" w:hAnsi="Arial" w:cs="Arial"/>
                <w:b/>
                <w:bCs/>
                <w:i/>
                <w:iCs/>
              </w:rPr>
              <w:t>jan</w:t>
            </w:r>
            <w:r w:rsidRPr="006A74E9">
              <w:rPr>
                <w:rFonts w:ascii="Arial" w:hAnsi="Arial" w:cs="Arial"/>
                <w:b/>
                <w:bCs/>
                <w:i/>
                <w:iCs/>
              </w:rPr>
              <w:t>. 202</w:t>
            </w:r>
            <w:r w:rsidR="007862F3">
              <w:rPr>
                <w:rFonts w:ascii="Arial" w:hAnsi="Arial" w:cs="Arial"/>
                <w:b/>
                <w:bCs/>
                <w:i/>
                <w:iCs/>
              </w:rPr>
              <w:t>4</w:t>
            </w:r>
            <w:r w:rsidRPr="006A74E9">
              <w:rPr>
                <w:rFonts w:ascii="Arial" w:hAnsi="Arial" w:cs="Arial"/>
                <w:b/>
                <w:bCs/>
                <w:i/>
                <w:iCs/>
              </w:rPr>
              <w:t xml:space="preserve"> → </w:t>
            </w:r>
            <w:r>
              <w:rPr>
                <w:rFonts w:ascii="Arial" w:hAnsi="Arial" w:cs="Arial"/>
                <w:b/>
                <w:bCs/>
                <w:i/>
                <w:iCs/>
              </w:rPr>
              <w:t>juil.</w:t>
            </w:r>
            <w:r w:rsidRPr="006A74E9">
              <w:rPr>
                <w:rFonts w:ascii="Arial" w:hAnsi="Arial" w:cs="Arial"/>
                <w:b/>
                <w:bCs/>
                <w:i/>
                <w:iCs/>
              </w:rPr>
              <w:t xml:space="preserve"> 2024 / </w:t>
            </w:r>
            <w:r>
              <w:rPr>
                <w:rFonts w:ascii="Arial" w:hAnsi="Arial" w:cs="Arial"/>
                <w:b/>
                <w:bCs/>
                <w:i/>
                <w:iCs/>
              </w:rPr>
              <w:t>jan</w:t>
            </w:r>
            <w:r w:rsidRPr="006A74E9">
              <w:rPr>
                <w:rFonts w:ascii="Arial" w:hAnsi="Arial" w:cs="Arial"/>
                <w:b/>
                <w:bCs/>
                <w:i/>
                <w:iCs/>
              </w:rPr>
              <w:t>. 202</w:t>
            </w:r>
            <w:r>
              <w:rPr>
                <w:rFonts w:ascii="Arial" w:hAnsi="Arial" w:cs="Arial"/>
                <w:b/>
                <w:bCs/>
                <w:i/>
                <w:iCs/>
              </w:rPr>
              <w:t>3</w:t>
            </w:r>
            <w:r w:rsidRPr="006A74E9">
              <w:rPr>
                <w:rFonts w:ascii="Arial" w:hAnsi="Arial" w:cs="Arial"/>
                <w:b/>
                <w:bCs/>
                <w:i/>
                <w:iCs/>
              </w:rPr>
              <w:t xml:space="preserve"> → </w:t>
            </w:r>
            <w:r>
              <w:rPr>
                <w:rFonts w:ascii="Arial" w:hAnsi="Arial" w:cs="Arial"/>
                <w:b/>
                <w:bCs/>
                <w:i/>
                <w:iCs/>
              </w:rPr>
              <w:t>juil.</w:t>
            </w:r>
            <w:r w:rsidRPr="006A74E9">
              <w:rPr>
                <w:rFonts w:ascii="Arial" w:hAnsi="Arial" w:cs="Arial"/>
                <w:b/>
                <w:bCs/>
                <w:i/>
                <w:iCs/>
              </w:rPr>
              <w:t xml:space="preserve"> 2023)</w:t>
            </w:r>
          </w:p>
        </w:tc>
      </w:tr>
      <w:tr w:rsidR="009D1C6B" w14:paraId="1191EB30" w14:textId="77777777" w:rsidTr="00CD40BA">
        <w:tc>
          <w:tcPr>
            <w:tcW w:w="2112" w:type="dxa"/>
            <w:tcBorders>
              <w:top w:val="single" w:sz="4" w:space="0" w:color="000000" w:themeColor="text1"/>
              <w:bottom w:val="dashSmallGap" w:sz="4" w:space="0" w:color="000000" w:themeColor="text1"/>
            </w:tcBorders>
          </w:tcPr>
          <w:p w14:paraId="2A098B05" w14:textId="77777777" w:rsidR="009D1C6B" w:rsidRPr="00D90749" w:rsidRDefault="009D1C6B" w:rsidP="00CD40BA">
            <w:pPr>
              <w:jc w:val="both"/>
              <w:rPr>
                <w:rFonts w:ascii="Arial" w:hAnsi="Arial" w:cs="Arial"/>
                <w:b/>
                <w:bCs/>
              </w:rPr>
            </w:pPr>
            <w:r w:rsidRPr="00D90749">
              <w:rPr>
                <w:rFonts w:ascii="Arial" w:hAnsi="Arial" w:cs="Arial"/>
                <w:b/>
                <w:bCs/>
              </w:rPr>
              <w:t>Autorisations</w:t>
            </w:r>
          </w:p>
        </w:tc>
        <w:tc>
          <w:tcPr>
            <w:tcW w:w="992" w:type="dxa"/>
            <w:tcBorders>
              <w:top w:val="single" w:sz="4" w:space="0" w:color="000000" w:themeColor="text1"/>
              <w:bottom w:val="dashSmallGap" w:sz="4" w:space="0" w:color="000000" w:themeColor="text1"/>
            </w:tcBorders>
          </w:tcPr>
          <w:p w14:paraId="4B2714C2" w14:textId="77777777" w:rsidR="009D1C6B" w:rsidRPr="00D90749" w:rsidRDefault="009D1C6B" w:rsidP="00CD40BA">
            <w:pPr>
              <w:jc w:val="center"/>
              <w:rPr>
                <w:rFonts w:ascii="Arial" w:hAnsi="Arial" w:cs="Arial"/>
                <w:b/>
                <w:bCs/>
              </w:rPr>
            </w:pPr>
            <w:r>
              <w:rPr>
                <w:rFonts w:ascii="Arial" w:hAnsi="Arial" w:cs="Arial"/>
                <w:b/>
                <w:bCs/>
              </w:rPr>
              <w:t>+2,3 %</w:t>
            </w:r>
          </w:p>
        </w:tc>
        <w:tc>
          <w:tcPr>
            <w:tcW w:w="992" w:type="dxa"/>
            <w:tcBorders>
              <w:top w:val="single" w:sz="4" w:space="0" w:color="000000" w:themeColor="text1"/>
              <w:bottom w:val="dashSmallGap" w:sz="4" w:space="0" w:color="000000" w:themeColor="text1"/>
            </w:tcBorders>
          </w:tcPr>
          <w:p w14:paraId="35543D6E" w14:textId="77777777" w:rsidR="009D1C6B" w:rsidRPr="00D90749" w:rsidRDefault="009D1C6B" w:rsidP="00CD40BA">
            <w:pPr>
              <w:jc w:val="center"/>
              <w:rPr>
                <w:rFonts w:ascii="Arial" w:hAnsi="Arial" w:cs="Arial"/>
                <w:b/>
                <w:bCs/>
              </w:rPr>
            </w:pPr>
            <w:r>
              <w:rPr>
                <w:rFonts w:ascii="Arial" w:hAnsi="Arial" w:cs="Arial"/>
                <w:b/>
                <w:bCs/>
              </w:rPr>
              <w:t>+15,6%</w:t>
            </w:r>
          </w:p>
        </w:tc>
        <w:tc>
          <w:tcPr>
            <w:tcW w:w="992" w:type="dxa"/>
            <w:tcBorders>
              <w:top w:val="single" w:sz="4" w:space="0" w:color="000000" w:themeColor="text1"/>
              <w:bottom w:val="dashSmallGap" w:sz="4" w:space="0" w:color="000000" w:themeColor="text1"/>
            </w:tcBorders>
          </w:tcPr>
          <w:p w14:paraId="7BC56E76" w14:textId="77777777" w:rsidR="009D1C6B" w:rsidRPr="00D90749" w:rsidRDefault="009D1C6B" w:rsidP="00CD40BA">
            <w:pPr>
              <w:jc w:val="center"/>
              <w:rPr>
                <w:rFonts w:ascii="Arial" w:hAnsi="Arial" w:cs="Arial"/>
                <w:b/>
                <w:bCs/>
              </w:rPr>
            </w:pPr>
            <w:r>
              <w:rPr>
                <w:rFonts w:ascii="Arial" w:hAnsi="Arial" w:cs="Arial"/>
                <w:b/>
                <w:bCs/>
              </w:rPr>
              <w:t>-9,4 %</w:t>
            </w:r>
          </w:p>
        </w:tc>
        <w:tc>
          <w:tcPr>
            <w:tcW w:w="992" w:type="dxa"/>
            <w:tcBorders>
              <w:top w:val="single" w:sz="4" w:space="0" w:color="000000" w:themeColor="text1"/>
              <w:bottom w:val="dashSmallGap" w:sz="4" w:space="0" w:color="000000" w:themeColor="text1"/>
            </w:tcBorders>
          </w:tcPr>
          <w:p w14:paraId="602BAC56" w14:textId="77777777" w:rsidR="009D1C6B" w:rsidRPr="00D90749" w:rsidRDefault="009D1C6B" w:rsidP="00CD40BA">
            <w:pPr>
              <w:jc w:val="center"/>
              <w:rPr>
                <w:rFonts w:ascii="Arial" w:hAnsi="Arial" w:cs="Arial"/>
                <w:b/>
                <w:bCs/>
              </w:rPr>
            </w:pPr>
            <w:r>
              <w:rPr>
                <w:rFonts w:ascii="Arial" w:hAnsi="Arial" w:cs="Arial"/>
                <w:b/>
                <w:bCs/>
              </w:rPr>
              <w:t>-11,3 %</w:t>
            </w:r>
          </w:p>
        </w:tc>
        <w:tc>
          <w:tcPr>
            <w:tcW w:w="992" w:type="dxa"/>
            <w:tcBorders>
              <w:top w:val="single" w:sz="4" w:space="0" w:color="000000" w:themeColor="text1"/>
              <w:bottom w:val="dashSmallGap" w:sz="4" w:space="0" w:color="000000" w:themeColor="text1"/>
            </w:tcBorders>
          </w:tcPr>
          <w:p w14:paraId="067F48AC" w14:textId="77777777" w:rsidR="009D1C6B" w:rsidRPr="00D90749" w:rsidRDefault="009D1C6B" w:rsidP="00CD40BA">
            <w:pPr>
              <w:jc w:val="center"/>
              <w:rPr>
                <w:rFonts w:ascii="Arial" w:hAnsi="Arial" w:cs="Arial"/>
                <w:b/>
                <w:bCs/>
              </w:rPr>
            </w:pPr>
            <w:r>
              <w:rPr>
                <w:rFonts w:ascii="Arial" w:hAnsi="Arial" w:cs="Arial"/>
                <w:b/>
                <w:bCs/>
              </w:rPr>
              <w:t>-4,2 %</w:t>
            </w:r>
          </w:p>
        </w:tc>
        <w:tc>
          <w:tcPr>
            <w:tcW w:w="1135" w:type="dxa"/>
            <w:tcBorders>
              <w:top w:val="single" w:sz="4" w:space="0" w:color="000000" w:themeColor="text1"/>
              <w:bottom w:val="dashSmallGap" w:sz="4" w:space="0" w:color="000000" w:themeColor="text1"/>
            </w:tcBorders>
          </w:tcPr>
          <w:p w14:paraId="5C139166" w14:textId="77777777" w:rsidR="009D1C6B" w:rsidRPr="00D90749" w:rsidRDefault="009D1C6B" w:rsidP="00CD40BA">
            <w:pPr>
              <w:jc w:val="center"/>
              <w:rPr>
                <w:rFonts w:ascii="Arial" w:hAnsi="Arial" w:cs="Arial"/>
                <w:b/>
                <w:bCs/>
              </w:rPr>
            </w:pPr>
            <w:r>
              <w:rPr>
                <w:rFonts w:ascii="Arial" w:hAnsi="Arial" w:cs="Arial"/>
                <w:b/>
                <w:bCs/>
              </w:rPr>
              <w:t>+7,7 %</w:t>
            </w:r>
          </w:p>
        </w:tc>
        <w:tc>
          <w:tcPr>
            <w:tcW w:w="992" w:type="dxa"/>
            <w:tcBorders>
              <w:top w:val="single" w:sz="4" w:space="0" w:color="000000" w:themeColor="text1"/>
              <w:bottom w:val="dashSmallGap" w:sz="4" w:space="0" w:color="000000" w:themeColor="text1"/>
            </w:tcBorders>
          </w:tcPr>
          <w:p w14:paraId="75BDE89E" w14:textId="77777777" w:rsidR="009D1C6B" w:rsidRPr="00D90749" w:rsidRDefault="009D1C6B" w:rsidP="00CD40BA">
            <w:pPr>
              <w:jc w:val="center"/>
              <w:rPr>
                <w:rFonts w:ascii="Arial" w:hAnsi="Arial" w:cs="Arial"/>
                <w:b/>
                <w:bCs/>
              </w:rPr>
            </w:pPr>
            <w:r>
              <w:rPr>
                <w:rFonts w:ascii="Arial" w:hAnsi="Arial" w:cs="Arial"/>
                <w:b/>
                <w:bCs/>
              </w:rPr>
              <w:t>-2,0 %</w:t>
            </w:r>
          </w:p>
        </w:tc>
      </w:tr>
      <w:tr w:rsidR="009D1C6B" w14:paraId="7EFF8AA8" w14:textId="77777777" w:rsidTr="00CD40BA">
        <w:tc>
          <w:tcPr>
            <w:tcW w:w="2112" w:type="dxa"/>
            <w:tcBorders>
              <w:top w:val="dashSmallGap" w:sz="4" w:space="0" w:color="000000" w:themeColor="text1"/>
              <w:bottom w:val="single" w:sz="2" w:space="0" w:color="000000" w:themeColor="text1"/>
            </w:tcBorders>
          </w:tcPr>
          <w:p w14:paraId="25F85898" w14:textId="77777777" w:rsidR="009D1C6B" w:rsidRPr="00D90749" w:rsidRDefault="009D1C6B" w:rsidP="00CD40BA">
            <w:pPr>
              <w:jc w:val="both"/>
              <w:rPr>
                <w:rFonts w:ascii="Arial" w:hAnsi="Arial" w:cs="Arial"/>
                <w:b/>
                <w:bCs/>
              </w:rPr>
            </w:pPr>
            <w:r w:rsidRPr="00D90749">
              <w:rPr>
                <w:rFonts w:ascii="Arial" w:hAnsi="Arial" w:cs="Arial"/>
                <w:b/>
                <w:bCs/>
              </w:rPr>
              <w:t>Mises en chantier</w:t>
            </w:r>
          </w:p>
        </w:tc>
        <w:tc>
          <w:tcPr>
            <w:tcW w:w="992" w:type="dxa"/>
            <w:tcBorders>
              <w:top w:val="dashSmallGap" w:sz="4" w:space="0" w:color="000000" w:themeColor="text1"/>
              <w:bottom w:val="single" w:sz="2" w:space="0" w:color="000000" w:themeColor="text1"/>
            </w:tcBorders>
          </w:tcPr>
          <w:p w14:paraId="436B95FC" w14:textId="77777777" w:rsidR="009D1C6B" w:rsidRPr="00D90749" w:rsidRDefault="009D1C6B" w:rsidP="00CD40BA">
            <w:pPr>
              <w:jc w:val="center"/>
              <w:rPr>
                <w:rFonts w:ascii="Arial" w:hAnsi="Arial" w:cs="Arial"/>
                <w:b/>
                <w:bCs/>
              </w:rPr>
            </w:pPr>
            <w:r>
              <w:rPr>
                <w:rFonts w:ascii="Arial" w:hAnsi="Arial" w:cs="Arial"/>
                <w:b/>
                <w:bCs/>
              </w:rPr>
              <w:t>-24,7 %</w:t>
            </w:r>
          </w:p>
        </w:tc>
        <w:tc>
          <w:tcPr>
            <w:tcW w:w="992" w:type="dxa"/>
            <w:tcBorders>
              <w:top w:val="dashSmallGap" w:sz="4" w:space="0" w:color="000000" w:themeColor="text1"/>
              <w:bottom w:val="single" w:sz="2" w:space="0" w:color="000000" w:themeColor="text1"/>
            </w:tcBorders>
          </w:tcPr>
          <w:p w14:paraId="1165CB6D" w14:textId="77777777" w:rsidR="009D1C6B" w:rsidRPr="00D90749" w:rsidRDefault="009D1C6B" w:rsidP="00CD40BA">
            <w:pPr>
              <w:jc w:val="center"/>
              <w:rPr>
                <w:rFonts w:ascii="Arial" w:hAnsi="Arial" w:cs="Arial"/>
                <w:b/>
                <w:bCs/>
              </w:rPr>
            </w:pPr>
            <w:r>
              <w:rPr>
                <w:rFonts w:ascii="Arial" w:hAnsi="Arial" w:cs="Arial"/>
                <w:b/>
                <w:bCs/>
              </w:rPr>
              <w:t>-7,9 %</w:t>
            </w:r>
          </w:p>
        </w:tc>
        <w:tc>
          <w:tcPr>
            <w:tcW w:w="992" w:type="dxa"/>
            <w:tcBorders>
              <w:top w:val="dashSmallGap" w:sz="4" w:space="0" w:color="000000" w:themeColor="text1"/>
              <w:bottom w:val="single" w:sz="2" w:space="0" w:color="000000" w:themeColor="text1"/>
            </w:tcBorders>
          </w:tcPr>
          <w:p w14:paraId="0939D723" w14:textId="77777777" w:rsidR="009D1C6B" w:rsidRPr="00D90749" w:rsidRDefault="009D1C6B" w:rsidP="00CD40BA">
            <w:pPr>
              <w:jc w:val="center"/>
              <w:rPr>
                <w:rFonts w:ascii="Arial" w:hAnsi="Arial" w:cs="Arial"/>
                <w:b/>
                <w:bCs/>
              </w:rPr>
            </w:pPr>
            <w:r>
              <w:rPr>
                <w:rFonts w:ascii="Arial" w:hAnsi="Arial" w:cs="Arial"/>
                <w:b/>
                <w:bCs/>
              </w:rPr>
              <w:t>-5,5 %</w:t>
            </w:r>
          </w:p>
        </w:tc>
        <w:tc>
          <w:tcPr>
            <w:tcW w:w="992" w:type="dxa"/>
            <w:tcBorders>
              <w:top w:val="dashSmallGap" w:sz="4" w:space="0" w:color="000000" w:themeColor="text1"/>
              <w:bottom w:val="single" w:sz="2" w:space="0" w:color="000000" w:themeColor="text1"/>
            </w:tcBorders>
          </w:tcPr>
          <w:p w14:paraId="0AFF1895" w14:textId="77777777" w:rsidR="009D1C6B" w:rsidRPr="00D90749" w:rsidRDefault="009D1C6B" w:rsidP="00CD40BA">
            <w:pPr>
              <w:jc w:val="center"/>
              <w:rPr>
                <w:rFonts w:ascii="Arial" w:hAnsi="Arial" w:cs="Arial"/>
                <w:b/>
                <w:bCs/>
              </w:rPr>
            </w:pPr>
            <w:r>
              <w:rPr>
                <w:rFonts w:ascii="Arial" w:hAnsi="Arial" w:cs="Arial"/>
                <w:b/>
                <w:bCs/>
              </w:rPr>
              <w:t>-18,5 %</w:t>
            </w:r>
          </w:p>
        </w:tc>
        <w:tc>
          <w:tcPr>
            <w:tcW w:w="992" w:type="dxa"/>
            <w:tcBorders>
              <w:top w:val="dashSmallGap" w:sz="4" w:space="0" w:color="000000" w:themeColor="text1"/>
              <w:bottom w:val="single" w:sz="2" w:space="0" w:color="000000" w:themeColor="text1"/>
            </w:tcBorders>
          </w:tcPr>
          <w:p w14:paraId="775ECED0" w14:textId="77777777" w:rsidR="009D1C6B" w:rsidRPr="00D90749" w:rsidRDefault="009D1C6B" w:rsidP="00CD40BA">
            <w:pPr>
              <w:jc w:val="center"/>
              <w:rPr>
                <w:rFonts w:ascii="Arial" w:hAnsi="Arial" w:cs="Arial"/>
                <w:b/>
                <w:bCs/>
              </w:rPr>
            </w:pPr>
            <w:r>
              <w:rPr>
                <w:rFonts w:ascii="Arial" w:hAnsi="Arial" w:cs="Arial"/>
                <w:b/>
                <w:bCs/>
              </w:rPr>
              <w:t>+0,3 %</w:t>
            </w:r>
          </w:p>
        </w:tc>
        <w:tc>
          <w:tcPr>
            <w:tcW w:w="1135" w:type="dxa"/>
            <w:tcBorders>
              <w:top w:val="dashSmallGap" w:sz="4" w:space="0" w:color="000000" w:themeColor="text1"/>
              <w:bottom w:val="single" w:sz="2" w:space="0" w:color="000000" w:themeColor="text1"/>
            </w:tcBorders>
          </w:tcPr>
          <w:p w14:paraId="0B30F4BB" w14:textId="77777777" w:rsidR="009D1C6B" w:rsidRPr="00D90749" w:rsidRDefault="009D1C6B" w:rsidP="00CD40BA">
            <w:pPr>
              <w:jc w:val="center"/>
              <w:rPr>
                <w:rFonts w:ascii="Arial" w:hAnsi="Arial" w:cs="Arial"/>
                <w:b/>
                <w:bCs/>
              </w:rPr>
            </w:pPr>
            <w:r>
              <w:rPr>
                <w:rFonts w:ascii="Arial" w:hAnsi="Arial" w:cs="Arial"/>
                <w:b/>
                <w:bCs/>
              </w:rPr>
              <w:t>-1,0 %</w:t>
            </w:r>
          </w:p>
        </w:tc>
        <w:tc>
          <w:tcPr>
            <w:tcW w:w="992" w:type="dxa"/>
            <w:tcBorders>
              <w:top w:val="dashSmallGap" w:sz="4" w:space="0" w:color="000000" w:themeColor="text1"/>
              <w:bottom w:val="single" w:sz="2" w:space="0" w:color="000000" w:themeColor="text1"/>
            </w:tcBorders>
          </w:tcPr>
          <w:p w14:paraId="70296473" w14:textId="77777777" w:rsidR="009D1C6B" w:rsidRPr="00D90749" w:rsidRDefault="009D1C6B" w:rsidP="00CD40BA">
            <w:pPr>
              <w:jc w:val="center"/>
              <w:rPr>
                <w:rFonts w:ascii="Arial" w:hAnsi="Arial" w:cs="Arial"/>
                <w:b/>
                <w:bCs/>
              </w:rPr>
            </w:pPr>
            <w:r>
              <w:rPr>
                <w:rFonts w:ascii="Arial" w:hAnsi="Arial" w:cs="Arial"/>
                <w:b/>
                <w:bCs/>
              </w:rPr>
              <w:t>-6,9 %</w:t>
            </w:r>
          </w:p>
        </w:tc>
      </w:tr>
      <w:tr w:rsidR="009D1C6B" w14:paraId="778689C8" w14:textId="77777777" w:rsidTr="00CD40BA">
        <w:tc>
          <w:tcPr>
            <w:tcW w:w="9199" w:type="dxa"/>
            <w:gridSpan w:val="8"/>
            <w:tcBorders>
              <w:top w:val="single" w:sz="2" w:space="0" w:color="000000" w:themeColor="text1"/>
              <w:bottom w:val="single" w:sz="2" w:space="0" w:color="000000" w:themeColor="text1"/>
            </w:tcBorders>
          </w:tcPr>
          <w:p w14:paraId="2C774B0A" w14:textId="77777777" w:rsidR="009D1C6B" w:rsidRPr="00577CBA" w:rsidRDefault="009D1C6B" w:rsidP="00CD40BA">
            <w:pPr>
              <w:jc w:val="center"/>
              <w:rPr>
                <w:rFonts w:ascii="Arial" w:hAnsi="Arial" w:cs="Arial"/>
              </w:rPr>
            </w:pPr>
          </w:p>
        </w:tc>
      </w:tr>
      <w:tr w:rsidR="009D1C6B" w14:paraId="3E718675" w14:textId="77777777" w:rsidTr="00CD40BA">
        <w:tc>
          <w:tcPr>
            <w:tcW w:w="9199" w:type="dxa"/>
            <w:gridSpan w:val="8"/>
            <w:tcBorders>
              <w:top w:val="single" w:sz="2" w:space="0" w:color="000000" w:themeColor="text1"/>
              <w:bottom w:val="single" w:sz="2" w:space="0" w:color="000000" w:themeColor="text1"/>
            </w:tcBorders>
          </w:tcPr>
          <w:p w14:paraId="7F60C4F9" w14:textId="77777777" w:rsidR="009D1C6B" w:rsidRPr="00BF5BE0" w:rsidRDefault="009D1C6B" w:rsidP="00CD40BA">
            <w:pPr>
              <w:jc w:val="center"/>
              <w:rPr>
                <w:rFonts w:ascii="Arial" w:hAnsi="Arial" w:cs="Arial"/>
              </w:rPr>
            </w:pPr>
            <w:r w:rsidRPr="00BF5BE0">
              <w:rPr>
                <w:rFonts w:ascii="Arial" w:hAnsi="Arial" w:cs="Arial"/>
                <w:i/>
                <w:iCs/>
              </w:rPr>
              <w:t>Sur neuf mois (</w:t>
            </w:r>
            <w:r>
              <w:rPr>
                <w:rFonts w:ascii="Arial" w:hAnsi="Arial" w:cs="Arial"/>
                <w:i/>
                <w:iCs/>
              </w:rPr>
              <w:t>nov.</w:t>
            </w:r>
            <w:r w:rsidRPr="00BF5BE0">
              <w:rPr>
                <w:rFonts w:ascii="Arial" w:hAnsi="Arial" w:cs="Arial"/>
                <w:i/>
                <w:iCs/>
              </w:rPr>
              <w:t xml:space="preserve"> 2023 → </w:t>
            </w:r>
            <w:r>
              <w:rPr>
                <w:rFonts w:ascii="Arial" w:hAnsi="Arial" w:cs="Arial"/>
                <w:i/>
                <w:iCs/>
              </w:rPr>
              <w:t>juil.</w:t>
            </w:r>
            <w:r w:rsidRPr="00BF5BE0">
              <w:rPr>
                <w:rFonts w:ascii="Arial" w:hAnsi="Arial" w:cs="Arial"/>
                <w:i/>
                <w:iCs/>
              </w:rPr>
              <w:t xml:space="preserve"> 202</w:t>
            </w:r>
            <w:r>
              <w:rPr>
                <w:rFonts w:ascii="Arial" w:hAnsi="Arial" w:cs="Arial"/>
                <w:i/>
                <w:iCs/>
              </w:rPr>
              <w:t>4</w:t>
            </w:r>
            <w:r w:rsidRPr="00BF5BE0">
              <w:rPr>
                <w:rFonts w:ascii="Arial" w:hAnsi="Arial" w:cs="Arial"/>
                <w:i/>
                <w:iCs/>
              </w:rPr>
              <w:t xml:space="preserve"> / </w:t>
            </w:r>
            <w:r>
              <w:rPr>
                <w:rFonts w:ascii="Arial" w:hAnsi="Arial" w:cs="Arial"/>
                <w:i/>
                <w:iCs/>
              </w:rPr>
              <w:t>nov.</w:t>
            </w:r>
            <w:r w:rsidRPr="00BF5BE0">
              <w:rPr>
                <w:rFonts w:ascii="Arial" w:hAnsi="Arial" w:cs="Arial"/>
                <w:i/>
                <w:iCs/>
              </w:rPr>
              <w:t xml:space="preserve"> 202</w:t>
            </w:r>
            <w:r>
              <w:rPr>
                <w:rFonts w:ascii="Arial" w:hAnsi="Arial" w:cs="Arial"/>
                <w:i/>
                <w:iCs/>
              </w:rPr>
              <w:t>2</w:t>
            </w:r>
            <w:r w:rsidRPr="00BF5BE0">
              <w:rPr>
                <w:rFonts w:ascii="Arial" w:hAnsi="Arial" w:cs="Arial"/>
                <w:i/>
                <w:iCs/>
              </w:rPr>
              <w:t xml:space="preserve"> → </w:t>
            </w:r>
            <w:r>
              <w:rPr>
                <w:rFonts w:ascii="Arial" w:hAnsi="Arial" w:cs="Arial"/>
                <w:i/>
                <w:iCs/>
              </w:rPr>
              <w:t>juil. 2023</w:t>
            </w:r>
            <w:r w:rsidRPr="00BF5BE0">
              <w:rPr>
                <w:rFonts w:ascii="Arial" w:hAnsi="Arial" w:cs="Arial"/>
                <w:i/>
                <w:iCs/>
              </w:rPr>
              <w:t>)</w:t>
            </w:r>
          </w:p>
        </w:tc>
      </w:tr>
      <w:tr w:rsidR="009D1C6B" w14:paraId="36DB3821" w14:textId="77777777" w:rsidTr="00CD40BA">
        <w:tc>
          <w:tcPr>
            <w:tcW w:w="2112" w:type="dxa"/>
            <w:tcBorders>
              <w:top w:val="single" w:sz="2" w:space="0" w:color="000000" w:themeColor="text1"/>
              <w:bottom w:val="dashSmallGap" w:sz="4" w:space="0" w:color="000000" w:themeColor="text1"/>
            </w:tcBorders>
          </w:tcPr>
          <w:p w14:paraId="2440160A" w14:textId="77777777" w:rsidR="009D1C6B" w:rsidRPr="00BF5BE0" w:rsidRDefault="009D1C6B" w:rsidP="00CD40BA">
            <w:pPr>
              <w:jc w:val="both"/>
              <w:rPr>
                <w:rFonts w:ascii="Arial" w:hAnsi="Arial" w:cs="Arial"/>
              </w:rPr>
            </w:pPr>
            <w:r w:rsidRPr="00BF5BE0">
              <w:rPr>
                <w:rFonts w:ascii="Arial" w:hAnsi="Arial" w:cs="Arial"/>
              </w:rPr>
              <w:t>Autorisations</w:t>
            </w:r>
          </w:p>
        </w:tc>
        <w:tc>
          <w:tcPr>
            <w:tcW w:w="992" w:type="dxa"/>
            <w:tcBorders>
              <w:top w:val="single" w:sz="2" w:space="0" w:color="000000" w:themeColor="text1"/>
              <w:bottom w:val="dashSmallGap" w:sz="4" w:space="0" w:color="000000" w:themeColor="text1"/>
            </w:tcBorders>
          </w:tcPr>
          <w:p w14:paraId="499A47D0" w14:textId="77777777" w:rsidR="009D1C6B" w:rsidRPr="00BF5BE0" w:rsidRDefault="009D1C6B" w:rsidP="00CD40BA">
            <w:pPr>
              <w:jc w:val="center"/>
              <w:rPr>
                <w:rFonts w:ascii="Arial" w:hAnsi="Arial" w:cs="Arial"/>
              </w:rPr>
            </w:pPr>
            <w:r>
              <w:rPr>
                <w:rFonts w:ascii="Arial" w:hAnsi="Arial" w:cs="Arial"/>
              </w:rPr>
              <w:t>-4,5 %</w:t>
            </w:r>
          </w:p>
        </w:tc>
        <w:tc>
          <w:tcPr>
            <w:tcW w:w="992" w:type="dxa"/>
            <w:tcBorders>
              <w:top w:val="single" w:sz="2" w:space="0" w:color="000000" w:themeColor="text1"/>
              <w:bottom w:val="dashSmallGap" w:sz="4" w:space="0" w:color="000000" w:themeColor="text1"/>
            </w:tcBorders>
          </w:tcPr>
          <w:p w14:paraId="3EC1C9A9" w14:textId="77777777" w:rsidR="009D1C6B" w:rsidRPr="00BF5BE0" w:rsidRDefault="009D1C6B" w:rsidP="00CD40BA">
            <w:pPr>
              <w:jc w:val="center"/>
              <w:rPr>
                <w:rFonts w:ascii="Arial" w:hAnsi="Arial" w:cs="Arial"/>
              </w:rPr>
            </w:pPr>
            <w:r>
              <w:rPr>
                <w:rFonts w:ascii="Arial" w:hAnsi="Arial" w:cs="Arial"/>
              </w:rPr>
              <w:t>+7,8 %</w:t>
            </w:r>
          </w:p>
        </w:tc>
        <w:tc>
          <w:tcPr>
            <w:tcW w:w="992" w:type="dxa"/>
            <w:tcBorders>
              <w:top w:val="single" w:sz="2" w:space="0" w:color="000000" w:themeColor="text1"/>
              <w:bottom w:val="dashSmallGap" w:sz="4" w:space="0" w:color="000000" w:themeColor="text1"/>
            </w:tcBorders>
          </w:tcPr>
          <w:p w14:paraId="2B621CBB" w14:textId="77777777" w:rsidR="009D1C6B" w:rsidRPr="00BF5BE0" w:rsidRDefault="009D1C6B" w:rsidP="00CD40BA">
            <w:pPr>
              <w:jc w:val="center"/>
              <w:rPr>
                <w:rFonts w:ascii="Arial" w:hAnsi="Arial" w:cs="Arial"/>
              </w:rPr>
            </w:pPr>
            <w:r>
              <w:rPr>
                <w:rFonts w:ascii="Arial" w:hAnsi="Arial" w:cs="Arial"/>
              </w:rPr>
              <w:t>-11,9 %</w:t>
            </w:r>
          </w:p>
        </w:tc>
        <w:tc>
          <w:tcPr>
            <w:tcW w:w="992" w:type="dxa"/>
            <w:tcBorders>
              <w:top w:val="single" w:sz="2" w:space="0" w:color="000000" w:themeColor="text1"/>
              <w:bottom w:val="dashSmallGap" w:sz="4" w:space="0" w:color="000000" w:themeColor="text1"/>
            </w:tcBorders>
          </w:tcPr>
          <w:p w14:paraId="6DF4FE95" w14:textId="77777777" w:rsidR="009D1C6B" w:rsidRPr="00BF5BE0" w:rsidRDefault="009D1C6B" w:rsidP="00CD40BA">
            <w:pPr>
              <w:jc w:val="center"/>
              <w:rPr>
                <w:rFonts w:ascii="Arial" w:hAnsi="Arial" w:cs="Arial"/>
              </w:rPr>
            </w:pPr>
            <w:r>
              <w:rPr>
                <w:rFonts w:ascii="Arial" w:hAnsi="Arial" w:cs="Arial"/>
              </w:rPr>
              <w:t>-14,4 %</w:t>
            </w:r>
          </w:p>
        </w:tc>
        <w:tc>
          <w:tcPr>
            <w:tcW w:w="992" w:type="dxa"/>
            <w:tcBorders>
              <w:top w:val="single" w:sz="2" w:space="0" w:color="000000" w:themeColor="text1"/>
              <w:bottom w:val="dashSmallGap" w:sz="4" w:space="0" w:color="000000" w:themeColor="text1"/>
            </w:tcBorders>
          </w:tcPr>
          <w:p w14:paraId="6AD7935C" w14:textId="77777777" w:rsidR="009D1C6B" w:rsidRPr="00BF5BE0" w:rsidRDefault="009D1C6B" w:rsidP="00CD40BA">
            <w:pPr>
              <w:jc w:val="center"/>
              <w:rPr>
                <w:rFonts w:ascii="Arial" w:hAnsi="Arial" w:cs="Arial"/>
              </w:rPr>
            </w:pPr>
            <w:r>
              <w:rPr>
                <w:rFonts w:ascii="Arial" w:hAnsi="Arial" w:cs="Arial"/>
              </w:rPr>
              <w:t>-2,7 %</w:t>
            </w:r>
          </w:p>
        </w:tc>
        <w:tc>
          <w:tcPr>
            <w:tcW w:w="1135" w:type="dxa"/>
            <w:tcBorders>
              <w:top w:val="single" w:sz="2" w:space="0" w:color="000000" w:themeColor="text1"/>
              <w:bottom w:val="dashSmallGap" w:sz="4" w:space="0" w:color="000000" w:themeColor="text1"/>
            </w:tcBorders>
          </w:tcPr>
          <w:p w14:paraId="6B3D2CBA" w14:textId="77777777" w:rsidR="009D1C6B" w:rsidRPr="00BF5BE0" w:rsidRDefault="009D1C6B" w:rsidP="00CD40BA">
            <w:pPr>
              <w:jc w:val="center"/>
              <w:rPr>
                <w:rFonts w:ascii="Arial" w:hAnsi="Arial" w:cs="Arial"/>
              </w:rPr>
            </w:pPr>
            <w:r>
              <w:rPr>
                <w:rFonts w:ascii="Arial" w:hAnsi="Arial" w:cs="Arial"/>
              </w:rPr>
              <w:t>+2,7 %</w:t>
            </w:r>
          </w:p>
        </w:tc>
        <w:tc>
          <w:tcPr>
            <w:tcW w:w="992" w:type="dxa"/>
            <w:tcBorders>
              <w:top w:val="single" w:sz="2" w:space="0" w:color="000000" w:themeColor="text1"/>
              <w:bottom w:val="dashSmallGap" w:sz="4" w:space="0" w:color="000000" w:themeColor="text1"/>
            </w:tcBorders>
          </w:tcPr>
          <w:p w14:paraId="24E9C299" w14:textId="77777777" w:rsidR="009D1C6B" w:rsidRPr="00BF5BE0" w:rsidRDefault="009D1C6B" w:rsidP="00CD40BA">
            <w:pPr>
              <w:jc w:val="center"/>
              <w:rPr>
                <w:rFonts w:ascii="Arial" w:hAnsi="Arial" w:cs="Arial"/>
              </w:rPr>
            </w:pPr>
            <w:r>
              <w:rPr>
                <w:rFonts w:ascii="Arial" w:hAnsi="Arial" w:cs="Arial"/>
              </w:rPr>
              <w:t>-5,5 %</w:t>
            </w:r>
          </w:p>
        </w:tc>
      </w:tr>
      <w:tr w:rsidR="009D1C6B" w14:paraId="291165C2" w14:textId="77777777" w:rsidTr="00CD40BA">
        <w:tc>
          <w:tcPr>
            <w:tcW w:w="2112" w:type="dxa"/>
            <w:tcBorders>
              <w:top w:val="dashSmallGap" w:sz="4" w:space="0" w:color="000000" w:themeColor="text1"/>
              <w:bottom w:val="single" w:sz="2" w:space="0" w:color="000000" w:themeColor="text1"/>
            </w:tcBorders>
          </w:tcPr>
          <w:p w14:paraId="13052DF2" w14:textId="77777777" w:rsidR="009D1C6B" w:rsidRPr="00BF5BE0" w:rsidRDefault="009D1C6B" w:rsidP="00CD40BA">
            <w:pPr>
              <w:jc w:val="both"/>
              <w:rPr>
                <w:rFonts w:ascii="Arial" w:hAnsi="Arial" w:cs="Arial"/>
              </w:rPr>
            </w:pPr>
            <w:r w:rsidRPr="00BF5BE0">
              <w:rPr>
                <w:rFonts w:ascii="Arial" w:hAnsi="Arial" w:cs="Arial"/>
              </w:rPr>
              <w:t>Mises en chantier</w:t>
            </w:r>
          </w:p>
        </w:tc>
        <w:tc>
          <w:tcPr>
            <w:tcW w:w="992" w:type="dxa"/>
            <w:tcBorders>
              <w:top w:val="dashSmallGap" w:sz="4" w:space="0" w:color="000000" w:themeColor="text1"/>
              <w:bottom w:val="single" w:sz="2" w:space="0" w:color="000000" w:themeColor="text1"/>
            </w:tcBorders>
          </w:tcPr>
          <w:p w14:paraId="48C05C3A" w14:textId="77777777" w:rsidR="009D1C6B" w:rsidRPr="00BF5BE0" w:rsidRDefault="009D1C6B" w:rsidP="00CD40BA">
            <w:pPr>
              <w:jc w:val="center"/>
              <w:rPr>
                <w:rFonts w:ascii="Arial" w:hAnsi="Arial" w:cs="Arial"/>
              </w:rPr>
            </w:pPr>
            <w:r>
              <w:rPr>
                <w:rFonts w:ascii="Arial" w:hAnsi="Arial" w:cs="Arial"/>
              </w:rPr>
              <w:t>-31,3 %</w:t>
            </w:r>
          </w:p>
        </w:tc>
        <w:tc>
          <w:tcPr>
            <w:tcW w:w="992" w:type="dxa"/>
            <w:tcBorders>
              <w:top w:val="dashSmallGap" w:sz="4" w:space="0" w:color="000000" w:themeColor="text1"/>
              <w:bottom w:val="single" w:sz="2" w:space="0" w:color="000000" w:themeColor="text1"/>
            </w:tcBorders>
          </w:tcPr>
          <w:p w14:paraId="169F0992" w14:textId="77777777" w:rsidR="009D1C6B" w:rsidRPr="00BF5BE0" w:rsidRDefault="009D1C6B" w:rsidP="00CD40BA">
            <w:pPr>
              <w:jc w:val="center"/>
              <w:rPr>
                <w:rFonts w:ascii="Arial" w:hAnsi="Arial" w:cs="Arial"/>
              </w:rPr>
            </w:pPr>
            <w:r>
              <w:rPr>
                <w:rFonts w:ascii="Arial" w:hAnsi="Arial" w:cs="Arial"/>
              </w:rPr>
              <w:t>-12,0 %</w:t>
            </w:r>
          </w:p>
        </w:tc>
        <w:tc>
          <w:tcPr>
            <w:tcW w:w="992" w:type="dxa"/>
            <w:tcBorders>
              <w:top w:val="dashSmallGap" w:sz="4" w:space="0" w:color="000000" w:themeColor="text1"/>
              <w:bottom w:val="single" w:sz="2" w:space="0" w:color="000000" w:themeColor="text1"/>
            </w:tcBorders>
          </w:tcPr>
          <w:p w14:paraId="6E3EDA1D" w14:textId="77777777" w:rsidR="009D1C6B" w:rsidRPr="00BF5BE0" w:rsidRDefault="009D1C6B" w:rsidP="00CD40BA">
            <w:pPr>
              <w:jc w:val="center"/>
              <w:rPr>
                <w:rFonts w:ascii="Arial" w:hAnsi="Arial" w:cs="Arial"/>
              </w:rPr>
            </w:pPr>
            <w:r>
              <w:rPr>
                <w:rFonts w:ascii="Arial" w:hAnsi="Arial" w:cs="Arial"/>
              </w:rPr>
              <w:t>-3,1 %</w:t>
            </w:r>
          </w:p>
        </w:tc>
        <w:tc>
          <w:tcPr>
            <w:tcW w:w="992" w:type="dxa"/>
            <w:tcBorders>
              <w:top w:val="dashSmallGap" w:sz="4" w:space="0" w:color="000000" w:themeColor="text1"/>
              <w:bottom w:val="single" w:sz="2" w:space="0" w:color="000000" w:themeColor="text1"/>
            </w:tcBorders>
          </w:tcPr>
          <w:p w14:paraId="7C426D96" w14:textId="77777777" w:rsidR="009D1C6B" w:rsidRPr="00BF5BE0" w:rsidRDefault="009D1C6B" w:rsidP="00CD40BA">
            <w:pPr>
              <w:jc w:val="center"/>
              <w:rPr>
                <w:rFonts w:ascii="Arial" w:hAnsi="Arial" w:cs="Arial"/>
              </w:rPr>
            </w:pPr>
            <w:r>
              <w:rPr>
                <w:rFonts w:ascii="Arial" w:hAnsi="Arial" w:cs="Arial"/>
              </w:rPr>
              <w:t>-16,6 %</w:t>
            </w:r>
          </w:p>
        </w:tc>
        <w:tc>
          <w:tcPr>
            <w:tcW w:w="992" w:type="dxa"/>
            <w:tcBorders>
              <w:top w:val="dashSmallGap" w:sz="4" w:space="0" w:color="000000" w:themeColor="text1"/>
              <w:bottom w:val="single" w:sz="2" w:space="0" w:color="000000" w:themeColor="text1"/>
            </w:tcBorders>
          </w:tcPr>
          <w:p w14:paraId="1B7318CB" w14:textId="77777777" w:rsidR="009D1C6B" w:rsidRPr="00BF5BE0" w:rsidRDefault="009D1C6B" w:rsidP="00CD40BA">
            <w:pPr>
              <w:jc w:val="center"/>
              <w:rPr>
                <w:rFonts w:ascii="Arial" w:hAnsi="Arial" w:cs="Arial"/>
              </w:rPr>
            </w:pPr>
            <w:r>
              <w:rPr>
                <w:rFonts w:ascii="Arial" w:hAnsi="Arial" w:cs="Arial"/>
              </w:rPr>
              <w:t>-7,3 %</w:t>
            </w:r>
          </w:p>
        </w:tc>
        <w:tc>
          <w:tcPr>
            <w:tcW w:w="1135" w:type="dxa"/>
            <w:tcBorders>
              <w:top w:val="dashSmallGap" w:sz="4" w:space="0" w:color="000000" w:themeColor="text1"/>
              <w:bottom w:val="single" w:sz="2" w:space="0" w:color="000000" w:themeColor="text1"/>
            </w:tcBorders>
          </w:tcPr>
          <w:p w14:paraId="298ADC9E" w14:textId="77777777" w:rsidR="009D1C6B" w:rsidRPr="00BF5BE0" w:rsidRDefault="009D1C6B" w:rsidP="00CD40BA">
            <w:pPr>
              <w:jc w:val="center"/>
              <w:rPr>
                <w:rFonts w:ascii="Arial" w:hAnsi="Arial" w:cs="Arial"/>
              </w:rPr>
            </w:pPr>
            <w:r>
              <w:rPr>
                <w:rFonts w:ascii="Arial" w:hAnsi="Arial" w:cs="Arial"/>
              </w:rPr>
              <w:t>+0,4 %</w:t>
            </w:r>
          </w:p>
        </w:tc>
        <w:tc>
          <w:tcPr>
            <w:tcW w:w="992" w:type="dxa"/>
            <w:tcBorders>
              <w:top w:val="dashSmallGap" w:sz="4" w:space="0" w:color="000000" w:themeColor="text1"/>
              <w:bottom w:val="single" w:sz="2" w:space="0" w:color="000000" w:themeColor="text1"/>
            </w:tcBorders>
          </w:tcPr>
          <w:p w14:paraId="4F3E6E11" w14:textId="77777777" w:rsidR="009D1C6B" w:rsidRPr="00BF5BE0" w:rsidRDefault="009D1C6B" w:rsidP="00CD40BA">
            <w:pPr>
              <w:jc w:val="center"/>
              <w:rPr>
                <w:rFonts w:ascii="Arial" w:hAnsi="Arial" w:cs="Arial"/>
              </w:rPr>
            </w:pPr>
            <w:r>
              <w:rPr>
                <w:rFonts w:ascii="Arial" w:hAnsi="Arial" w:cs="Arial"/>
              </w:rPr>
              <w:t>-7,3 %</w:t>
            </w:r>
          </w:p>
        </w:tc>
      </w:tr>
      <w:tr w:rsidR="009D1C6B" w:rsidRPr="003F79C3" w14:paraId="202285CE" w14:textId="77777777" w:rsidTr="00CD40BA">
        <w:tc>
          <w:tcPr>
            <w:tcW w:w="9199" w:type="dxa"/>
            <w:gridSpan w:val="8"/>
            <w:tcBorders>
              <w:top w:val="single" w:sz="2" w:space="0" w:color="000000" w:themeColor="text1"/>
              <w:bottom w:val="single" w:sz="2" w:space="0" w:color="000000" w:themeColor="text1"/>
            </w:tcBorders>
          </w:tcPr>
          <w:p w14:paraId="1B798651" w14:textId="77777777" w:rsidR="009D1C6B" w:rsidRPr="00577CBA" w:rsidRDefault="009D1C6B" w:rsidP="00CD40BA">
            <w:pPr>
              <w:jc w:val="center"/>
              <w:rPr>
                <w:rFonts w:ascii="Arial" w:hAnsi="Arial" w:cs="Arial"/>
                <w:b/>
              </w:rPr>
            </w:pPr>
          </w:p>
        </w:tc>
      </w:tr>
      <w:tr w:rsidR="009D1C6B" w:rsidRPr="003F79C3" w14:paraId="63B367EE" w14:textId="77777777" w:rsidTr="00CD40BA">
        <w:tc>
          <w:tcPr>
            <w:tcW w:w="9199" w:type="dxa"/>
            <w:gridSpan w:val="8"/>
            <w:tcBorders>
              <w:top w:val="single" w:sz="2" w:space="0" w:color="000000" w:themeColor="text1"/>
              <w:bottom w:val="single" w:sz="2" w:space="0" w:color="000000" w:themeColor="text1"/>
            </w:tcBorders>
          </w:tcPr>
          <w:p w14:paraId="6773E209" w14:textId="77777777" w:rsidR="009D1C6B" w:rsidRPr="00525217" w:rsidRDefault="009D1C6B" w:rsidP="00CD40BA">
            <w:pPr>
              <w:jc w:val="center"/>
              <w:rPr>
                <w:rFonts w:ascii="Arial" w:hAnsi="Arial" w:cs="Arial"/>
              </w:rPr>
            </w:pPr>
            <w:r w:rsidRPr="00525217">
              <w:rPr>
                <w:rFonts w:ascii="Arial" w:hAnsi="Arial" w:cs="Arial"/>
                <w:i/>
                <w:iCs/>
              </w:rPr>
              <w:t>Sur un an (</w:t>
            </w:r>
            <w:r>
              <w:rPr>
                <w:rFonts w:ascii="Arial" w:hAnsi="Arial" w:cs="Arial"/>
                <w:i/>
                <w:iCs/>
              </w:rPr>
              <w:t xml:space="preserve">août </w:t>
            </w:r>
            <w:r w:rsidRPr="00525217">
              <w:rPr>
                <w:rFonts w:ascii="Arial" w:hAnsi="Arial" w:cs="Arial"/>
                <w:i/>
                <w:iCs/>
              </w:rPr>
              <w:t xml:space="preserve">2023 → </w:t>
            </w:r>
            <w:r>
              <w:rPr>
                <w:rFonts w:ascii="Arial" w:hAnsi="Arial" w:cs="Arial"/>
                <w:i/>
                <w:iCs/>
              </w:rPr>
              <w:t>juil.</w:t>
            </w:r>
            <w:r w:rsidRPr="00525217">
              <w:rPr>
                <w:rFonts w:ascii="Arial" w:hAnsi="Arial" w:cs="Arial"/>
                <w:i/>
                <w:iCs/>
              </w:rPr>
              <w:t xml:space="preserve"> 202</w:t>
            </w:r>
            <w:r>
              <w:rPr>
                <w:rFonts w:ascii="Arial" w:hAnsi="Arial" w:cs="Arial"/>
                <w:i/>
                <w:iCs/>
              </w:rPr>
              <w:t>4</w:t>
            </w:r>
            <w:r w:rsidRPr="00525217">
              <w:rPr>
                <w:rFonts w:ascii="Arial" w:hAnsi="Arial" w:cs="Arial"/>
                <w:i/>
                <w:iCs/>
              </w:rPr>
              <w:t xml:space="preserve"> / </w:t>
            </w:r>
            <w:r>
              <w:rPr>
                <w:rFonts w:ascii="Arial" w:hAnsi="Arial" w:cs="Arial"/>
                <w:i/>
                <w:iCs/>
              </w:rPr>
              <w:t>août</w:t>
            </w:r>
            <w:r w:rsidRPr="00525217">
              <w:rPr>
                <w:rFonts w:ascii="Arial" w:hAnsi="Arial" w:cs="Arial"/>
                <w:i/>
                <w:iCs/>
              </w:rPr>
              <w:t xml:space="preserve"> 2022 → </w:t>
            </w:r>
            <w:r>
              <w:rPr>
                <w:rFonts w:ascii="Arial" w:hAnsi="Arial" w:cs="Arial"/>
                <w:i/>
                <w:iCs/>
              </w:rPr>
              <w:t>juil.</w:t>
            </w:r>
            <w:r w:rsidRPr="00525217">
              <w:rPr>
                <w:rFonts w:ascii="Arial" w:hAnsi="Arial" w:cs="Arial"/>
                <w:i/>
                <w:iCs/>
              </w:rPr>
              <w:t xml:space="preserve"> 202</w:t>
            </w:r>
            <w:r>
              <w:rPr>
                <w:rFonts w:ascii="Arial" w:hAnsi="Arial" w:cs="Arial"/>
                <w:i/>
                <w:iCs/>
              </w:rPr>
              <w:t>3</w:t>
            </w:r>
            <w:r w:rsidRPr="00525217">
              <w:rPr>
                <w:rFonts w:ascii="Arial" w:hAnsi="Arial" w:cs="Arial"/>
                <w:i/>
                <w:iCs/>
              </w:rPr>
              <w:t>)</w:t>
            </w:r>
          </w:p>
        </w:tc>
      </w:tr>
      <w:tr w:rsidR="009D1C6B" w:rsidRPr="003F79C3" w14:paraId="541C4DB3" w14:textId="77777777" w:rsidTr="00CD40BA">
        <w:tc>
          <w:tcPr>
            <w:tcW w:w="2112" w:type="dxa"/>
            <w:tcBorders>
              <w:top w:val="single" w:sz="2" w:space="0" w:color="000000" w:themeColor="text1"/>
              <w:bottom w:val="dashSmallGap" w:sz="4" w:space="0" w:color="000000" w:themeColor="text1"/>
            </w:tcBorders>
          </w:tcPr>
          <w:p w14:paraId="74A70E8B" w14:textId="77777777" w:rsidR="009D1C6B" w:rsidRPr="00525217" w:rsidRDefault="009D1C6B" w:rsidP="00CD40BA">
            <w:pPr>
              <w:jc w:val="both"/>
              <w:rPr>
                <w:rFonts w:ascii="Arial" w:hAnsi="Arial" w:cs="Arial"/>
              </w:rPr>
            </w:pPr>
            <w:r w:rsidRPr="00525217">
              <w:rPr>
                <w:rFonts w:ascii="Arial" w:hAnsi="Arial" w:cs="Arial"/>
              </w:rPr>
              <w:t>Autorisations</w:t>
            </w:r>
          </w:p>
        </w:tc>
        <w:tc>
          <w:tcPr>
            <w:tcW w:w="992" w:type="dxa"/>
            <w:tcBorders>
              <w:top w:val="single" w:sz="2" w:space="0" w:color="000000" w:themeColor="text1"/>
              <w:bottom w:val="dashSmallGap" w:sz="4" w:space="0" w:color="000000" w:themeColor="text1"/>
            </w:tcBorders>
          </w:tcPr>
          <w:p w14:paraId="47E5D8B7" w14:textId="77777777" w:rsidR="009D1C6B" w:rsidRPr="00525217" w:rsidRDefault="009D1C6B" w:rsidP="00CD40BA">
            <w:pPr>
              <w:jc w:val="center"/>
              <w:rPr>
                <w:rFonts w:ascii="Arial" w:hAnsi="Arial" w:cs="Arial"/>
              </w:rPr>
            </w:pPr>
            <w:r>
              <w:rPr>
                <w:rFonts w:ascii="Arial" w:hAnsi="Arial" w:cs="Arial"/>
              </w:rPr>
              <w:t>-5,0 %</w:t>
            </w:r>
          </w:p>
        </w:tc>
        <w:tc>
          <w:tcPr>
            <w:tcW w:w="992" w:type="dxa"/>
            <w:tcBorders>
              <w:top w:val="single" w:sz="2" w:space="0" w:color="000000" w:themeColor="text1"/>
              <w:bottom w:val="dashSmallGap" w:sz="4" w:space="0" w:color="000000" w:themeColor="text1"/>
            </w:tcBorders>
          </w:tcPr>
          <w:p w14:paraId="57B7C5D0" w14:textId="77777777" w:rsidR="009D1C6B" w:rsidRPr="00525217" w:rsidRDefault="009D1C6B" w:rsidP="00CD40BA">
            <w:pPr>
              <w:jc w:val="center"/>
              <w:rPr>
                <w:rFonts w:ascii="Arial" w:hAnsi="Arial" w:cs="Arial"/>
              </w:rPr>
            </w:pPr>
            <w:r>
              <w:rPr>
                <w:rFonts w:ascii="Arial" w:hAnsi="Arial" w:cs="Arial"/>
              </w:rPr>
              <w:t>+8,6 %</w:t>
            </w:r>
          </w:p>
        </w:tc>
        <w:tc>
          <w:tcPr>
            <w:tcW w:w="992" w:type="dxa"/>
            <w:tcBorders>
              <w:top w:val="single" w:sz="2" w:space="0" w:color="000000" w:themeColor="text1"/>
              <w:bottom w:val="dashSmallGap" w:sz="4" w:space="0" w:color="000000" w:themeColor="text1"/>
            </w:tcBorders>
          </w:tcPr>
          <w:p w14:paraId="402C9487" w14:textId="77777777" w:rsidR="009D1C6B" w:rsidRPr="00525217" w:rsidRDefault="009D1C6B" w:rsidP="00CD40BA">
            <w:pPr>
              <w:jc w:val="center"/>
              <w:rPr>
                <w:rFonts w:ascii="Arial" w:hAnsi="Arial" w:cs="Arial"/>
              </w:rPr>
            </w:pPr>
            <w:r>
              <w:rPr>
                <w:rFonts w:ascii="Arial" w:hAnsi="Arial" w:cs="Arial"/>
              </w:rPr>
              <w:t>-10,3 %</w:t>
            </w:r>
          </w:p>
        </w:tc>
        <w:tc>
          <w:tcPr>
            <w:tcW w:w="992" w:type="dxa"/>
            <w:tcBorders>
              <w:top w:val="single" w:sz="2" w:space="0" w:color="000000" w:themeColor="text1"/>
              <w:bottom w:val="dashSmallGap" w:sz="4" w:space="0" w:color="000000" w:themeColor="text1"/>
            </w:tcBorders>
          </w:tcPr>
          <w:p w14:paraId="094AE254" w14:textId="77777777" w:rsidR="009D1C6B" w:rsidRPr="00525217" w:rsidRDefault="009D1C6B" w:rsidP="00CD40BA">
            <w:pPr>
              <w:jc w:val="center"/>
              <w:rPr>
                <w:rFonts w:ascii="Arial" w:hAnsi="Arial" w:cs="Arial"/>
              </w:rPr>
            </w:pPr>
            <w:r>
              <w:rPr>
                <w:rFonts w:ascii="Arial" w:hAnsi="Arial" w:cs="Arial"/>
              </w:rPr>
              <w:t>-20,1 %</w:t>
            </w:r>
          </w:p>
        </w:tc>
        <w:tc>
          <w:tcPr>
            <w:tcW w:w="992" w:type="dxa"/>
            <w:tcBorders>
              <w:top w:val="single" w:sz="2" w:space="0" w:color="000000" w:themeColor="text1"/>
              <w:bottom w:val="dashSmallGap" w:sz="4" w:space="0" w:color="000000" w:themeColor="text1"/>
            </w:tcBorders>
          </w:tcPr>
          <w:p w14:paraId="18D9577B" w14:textId="77777777" w:rsidR="009D1C6B" w:rsidRPr="00525217" w:rsidRDefault="009D1C6B" w:rsidP="00CD40BA">
            <w:pPr>
              <w:jc w:val="center"/>
              <w:rPr>
                <w:rFonts w:ascii="Arial" w:hAnsi="Arial" w:cs="Arial"/>
              </w:rPr>
            </w:pPr>
            <w:r>
              <w:rPr>
                <w:rFonts w:ascii="Arial" w:hAnsi="Arial" w:cs="Arial"/>
              </w:rPr>
              <w:t>-6,4 %</w:t>
            </w:r>
          </w:p>
        </w:tc>
        <w:tc>
          <w:tcPr>
            <w:tcW w:w="1135" w:type="dxa"/>
            <w:tcBorders>
              <w:top w:val="single" w:sz="2" w:space="0" w:color="000000" w:themeColor="text1"/>
              <w:bottom w:val="dashSmallGap" w:sz="4" w:space="0" w:color="000000" w:themeColor="text1"/>
            </w:tcBorders>
          </w:tcPr>
          <w:p w14:paraId="64FDCE8A" w14:textId="77777777" w:rsidR="009D1C6B" w:rsidRPr="00525217" w:rsidRDefault="009D1C6B" w:rsidP="00CD40BA">
            <w:pPr>
              <w:jc w:val="center"/>
              <w:rPr>
                <w:rFonts w:ascii="Arial" w:hAnsi="Arial" w:cs="Arial"/>
              </w:rPr>
            </w:pPr>
            <w:r>
              <w:rPr>
                <w:rFonts w:ascii="Arial" w:hAnsi="Arial" w:cs="Arial"/>
              </w:rPr>
              <w:t>-0,8 %</w:t>
            </w:r>
          </w:p>
        </w:tc>
        <w:tc>
          <w:tcPr>
            <w:tcW w:w="992" w:type="dxa"/>
            <w:tcBorders>
              <w:top w:val="single" w:sz="2" w:space="0" w:color="000000" w:themeColor="text1"/>
              <w:bottom w:val="dashSmallGap" w:sz="4" w:space="0" w:color="000000" w:themeColor="text1"/>
            </w:tcBorders>
          </w:tcPr>
          <w:p w14:paraId="77E9818F" w14:textId="77777777" w:rsidR="009D1C6B" w:rsidRPr="00525217" w:rsidRDefault="009D1C6B" w:rsidP="00CD40BA">
            <w:pPr>
              <w:jc w:val="center"/>
              <w:rPr>
                <w:rFonts w:ascii="Arial" w:hAnsi="Arial" w:cs="Arial"/>
              </w:rPr>
            </w:pPr>
            <w:r>
              <w:rPr>
                <w:rFonts w:ascii="Arial" w:hAnsi="Arial" w:cs="Arial"/>
              </w:rPr>
              <w:t>-6,4 %</w:t>
            </w:r>
          </w:p>
        </w:tc>
      </w:tr>
      <w:tr w:rsidR="009D1C6B" w:rsidRPr="003F79C3" w14:paraId="2F093CAF" w14:textId="77777777" w:rsidTr="00CD40BA">
        <w:tc>
          <w:tcPr>
            <w:tcW w:w="2112" w:type="dxa"/>
            <w:tcBorders>
              <w:top w:val="dashSmallGap" w:sz="4" w:space="0" w:color="000000" w:themeColor="text1"/>
              <w:bottom w:val="single" w:sz="12" w:space="0" w:color="000000" w:themeColor="text1"/>
            </w:tcBorders>
          </w:tcPr>
          <w:p w14:paraId="5CDDA484" w14:textId="77777777" w:rsidR="009D1C6B" w:rsidRPr="00525217" w:rsidRDefault="009D1C6B" w:rsidP="00CD40BA">
            <w:pPr>
              <w:jc w:val="both"/>
              <w:rPr>
                <w:rFonts w:ascii="Arial" w:hAnsi="Arial" w:cs="Arial"/>
              </w:rPr>
            </w:pPr>
            <w:r w:rsidRPr="00525217">
              <w:rPr>
                <w:rFonts w:ascii="Arial" w:hAnsi="Arial" w:cs="Arial"/>
              </w:rPr>
              <w:t>Mises en chantier</w:t>
            </w:r>
          </w:p>
        </w:tc>
        <w:tc>
          <w:tcPr>
            <w:tcW w:w="992" w:type="dxa"/>
            <w:tcBorders>
              <w:top w:val="dashSmallGap" w:sz="4" w:space="0" w:color="000000" w:themeColor="text1"/>
              <w:bottom w:val="single" w:sz="12" w:space="0" w:color="000000" w:themeColor="text1"/>
            </w:tcBorders>
          </w:tcPr>
          <w:p w14:paraId="3DFD49A6" w14:textId="77777777" w:rsidR="009D1C6B" w:rsidRPr="00525217" w:rsidRDefault="009D1C6B" w:rsidP="00CD40BA">
            <w:pPr>
              <w:jc w:val="center"/>
              <w:rPr>
                <w:rFonts w:ascii="Arial" w:hAnsi="Arial" w:cs="Arial"/>
              </w:rPr>
            </w:pPr>
            <w:r>
              <w:rPr>
                <w:rFonts w:ascii="Arial" w:hAnsi="Arial" w:cs="Arial"/>
              </w:rPr>
              <w:t>-27,8 %</w:t>
            </w:r>
          </w:p>
        </w:tc>
        <w:tc>
          <w:tcPr>
            <w:tcW w:w="992" w:type="dxa"/>
            <w:tcBorders>
              <w:top w:val="dashSmallGap" w:sz="4" w:space="0" w:color="000000" w:themeColor="text1"/>
              <w:bottom w:val="single" w:sz="12" w:space="0" w:color="000000" w:themeColor="text1"/>
            </w:tcBorders>
          </w:tcPr>
          <w:p w14:paraId="38FF3C26" w14:textId="77777777" w:rsidR="009D1C6B" w:rsidRPr="00525217" w:rsidRDefault="009D1C6B" w:rsidP="00CD40BA">
            <w:pPr>
              <w:jc w:val="center"/>
              <w:rPr>
                <w:rFonts w:ascii="Arial" w:hAnsi="Arial" w:cs="Arial"/>
              </w:rPr>
            </w:pPr>
            <w:r>
              <w:rPr>
                <w:rFonts w:ascii="Arial" w:hAnsi="Arial" w:cs="Arial"/>
              </w:rPr>
              <w:t>-9,8 %</w:t>
            </w:r>
          </w:p>
        </w:tc>
        <w:tc>
          <w:tcPr>
            <w:tcW w:w="992" w:type="dxa"/>
            <w:tcBorders>
              <w:top w:val="dashSmallGap" w:sz="4" w:space="0" w:color="000000" w:themeColor="text1"/>
              <w:bottom w:val="single" w:sz="12" w:space="0" w:color="000000" w:themeColor="text1"/>
            </w:tcBorders>
          </w:tcPr>
          <w:p w14:paraId="32B3454A" w14:textId="77777777" w:rsidR="009D1C6B" w:rsidRPr="00525217" w:rsidRDefault="009D1C6B" w:rsidP="00CD40BA">
            <w:pPr>
              <w:jc w:val="center"/>
              <w:rPr>
                <w:rFonts w:ascii="Arial" w:hAnsi="Arial" w:cs="Arial"/>
              </w:rPr>
            </w:pPr>
            <w:r>
              <w:rPr>
                <w:rFonts w:ascii="Arial" w:hAnsi="Arial" w:cs="Arial"/>
              </w:rPr>
              <w:t>-3,6 %</w:t>
            </w:r>
          </w:p>
        </w:tc>
        <w:tc>
          <w:tcPr>
            <w:tcW w:w="992" w:type="dxa"/>
            <w:tcBorders>
              <w:top w:val="dashSmallGap" w:sz="4" w:space="0" w:color="000000" w:themeColor="text1"/>
              <w:bottom w:val="single" w:sz="12" w:space="0" w:color="000000" w:themeColor="text1"/>
            </w:tcBorders>
          </w:tcPr>
          <w:p w14:paraId="2275E64D" w14:textId="77777777" w:rsidR="009D1C6B" w:rsidRPr="00525217" w:rsidRDefault="009D1C6B" w:rsidP="00CD40BA">
            <w:pPr>
              <w:jc w:val="center"/>
              <w:rPr>
                <w:rFonts w:ascii="Arial" w:hAnsi="Arial" w:cs="Arial"/>
              </w:rPr>
            </w:pPr>
            <w:r>
              <w:rPr>
                <w:rFonts w:ascii="Arial" w:hAnsi="Arial" w:cs="Arial"/>
              </w:rPr>
              <w:t>-15,5 %</w:t>
            </w:r>
          </w:p>
        </w:tc>
        <w:tc>
          <w:tcPr>
            <w:tcW w:w="992" w:type="dxa"/>
            <w:tcBorders>
              <w:top w:val="dashSmallGap" w:sz="4" w:space="0" w:color="000000" w:themeColor="text1"/>
              <w:bottom w:val="single" w:sz="12" w:space="0" w:color="000000" w:themeColor="text1"/>
            </w:tcBorders>
          </w:tcPr>
          <w:p w14:paraId="2010D737" w14:textId="77777777" w:rsidR="009D1C6B" w:rsidRPr="00525217" w:rsidRDefault="009D1C6B" w:rsidP="00CD40BA">
            <w:pPr>
              <w:jc w:val="center"/>
              <w:rPr>
                <w:rFonts w:ascii="Arial" w:hAnsi="Arial" w:cs="Arial"/>
              </w:rPr>
            </w:pPr>
            <w:r>
              <w:rPr>
                <w:rFonts w:ascii="Arial" w:hAnsi="Arial" w:cs="Arial"/>
              </w:rPr>
              <w:t>-6,5 %</w:t>
            </w:r>
          </w:p>
        </w:tc>
        <w:tc>
          <w:tcPr>
            <w:tcW w:w="1135" w:type="dxa"/>
            <w:tcBorders>
              <w:top w:val="dashSmallGap" w:sz="4" w:space="0" w:color="000000" w:themeColor="text1"/>
              <w:bottom w:val="single" w:sz="12" w:space="0" w:color="000000" w:themeColor="text1"/>
            </w:tcBorders>
          </w:tcPr>
          <w:p w14:paraId="411D1825" w14:textId="77777777" w:rsidR="009D1C6B" w:rsidRPr="00525217" w:rsidRDefault="009D1C6B" w:rsidP="00CD40BA">
            <w:pPr>
              <w:jc w:val="center"/>
              <w:rPr>
                <w:rFonts w:ascii="Arial" w:hAnsi="Arial" w:cs="Arial"/>
              </w:rPr>
            </w:pPr>
            <w:r>
              <w:rPr>
                <w:rFonts w:ascii="Arial" w:hAnsi="Arial" w:cs="Arial"/>
              </w:rPr>
              <w:t>-4,0 %</w:t>
            </w:r>
          </w:p>
        </w:tc>
        <w:tc>
          <w:tcPr>
            <w:tcW w:w="992" w:type="dxa"/>
            <w:tcBorders>
              <w:top w:val="dashSmallGap" w:sz="4" w:space="0" w:color="000000" w:themeColor="text1"/>
              <w:bottom w:val="single" w:sz="12" w:space="0" w:color="000000" w:themeColor="text1"/>
            </w:tcBorders>
          </w:tcPr>
          <w:p w14:paraId="14342201" w14:textId="77777777" w:rsidR="009D1C6B" w:rsidRPr="00525217" w:rsidRDefault="009D1C6B" w:rsidP="00CD40BA">
            <w:pPr>
              <w:jc w:val="center"/>
              <w:rPr>
                <w:rFonts w:ascii="Arial" w:hAnsi="Arial" w:cs="Arial"/>
              </w:rPr>
            </w:pPr>
            <w:r>
              <w:rPr>
                <w:rFonts w:ascii="Arial" w:hAnsi="Arial" w:cs="Arial"/>
              </w:rPr>
              <w:t>-7,4 %</w:t>
            </w:r>
          </w:p>
        </w:tc>
      </w:tr>
    </w:tbl>
    <w:p w14:paraId="6B057370" w14:textId="3888B590" w:rsidR="00BF4A51" w:rsidRDefault="00BF4A51" w:rsidP="00556EE3">
      <w:pPr>
        <w:spacing w:after="120" w:line="360" w:lineRule="auto"/>
        <w:jc w:val="center"/>
        <w:rPr>
          <w:rFonts w:ascii="Arial" w:hAnsi="Arial" w:cs="Arial"/>
          <w:i/>
          <w:sz w:val="20"/>
          <w:szCs w:val="20"/>
        </w:rPr>
      </w:pPr>
      <w:r w:rsidRPr="00CB20BC">
        <w:rPr>
          <w:rFonts w:ascii="Arial" w:hAnsi="Arial" w:cs="Arial"/>
          <w:i/>
          <w:sz w:val="20"/>
          <w:szCs w:val="20"/>
        </w:rPr>
        <w:t xml:space="preserve">Source : </w:t>
      </w:r>
      <w:r>
        <w:rPr>
          <w:rFonts w:ascii="Arial" w:hAnsi="Arial" w:cs="Arial"/>
          <w:i/>
          <w:sz w:val="20"/>
          <w:szCs w:val="20"/>
        </w:rPr>
        <w:t>FFB d’après MTE</w:t>
      </w:r>
      <w:r w:rsidR="00F0066B">
        <w:rPr>
          <w:rFonts w:ascii="Arial" w:hAnsi="Arial" w:cs="Arial"/>
          <w:i/>
          <w:sz w:val="20"/>
          <w:szCs w:val="20"/>
        </w:rPr>
        <w:t>CT</w:t>
      </w:r>
      <w:r>
        <w:rPr>
          <w:rFonts w:ascii="Arial" w:hAnsi="Arial" w:cs="Arial"/>
          <w:i/>
          <w:sz w:val="20"/>
          <w:szCs w:val="20"/>
        </w:rPr>
        <w:t>/</w:t>
      </w:r>
      <w:r w:rsidRPr="00CB20BC">
        <w:rPr>
          <w:rFonts w:ascii="Arial" w:hAnsi="Arial" w:cs="Arial"/>
          <w:i/>
          <w:sz w:val="20"/>
          <w:szCs w:val="20"/>
        </w:rPr>
        <w:t>CGDD</w:t>
      </w:r>
      <w:r>
        <w:rPr>
          <w:rFonts w:ascii="Arial" w:hAnsi="Arial" w:cs="Arial"/>
          <w:i/>
          <w:sz w:val="20"/>
          <w:szCs w:val="20"/>
        </w:rPr>
        <w:t>/SDES, Sit@del2</w:t>
      </w:r>
    </w:p>
    <w:p w14:paraId="4EF929D2" w14:textId="39B45EAC" w:rsidR="00DF04DC" w:rsidRPr="00DF04DC" w:rsidRDefault="00DF04DC" w:rsidP="00DF04DC">
      <w:pPr>
        <w:spacing w:after="0" w:line="360" w:lineRule="auto"/>
        <w:jc w:val="center"/>
        <w:rPr>
          <w:rFonts w:ascii="Arial" w:hAnsi="Arial" w:cs="Arial"/>
        </w:rPr>
      </w:pPr>
      <w:r w:rsidRPr="00DF04DC">
        <w:rPr>
          <w:rFonts w:ascii="Arial" w:hAnsi="Arial" w:cs="Arial"/>
        </w:rPr>
        <w:t xml:space="preserve">Graphique </w:t>
      </w:r>
      <w:r w:rsidR="001C2965">
        <w:rPr>
          <w:rFonts w:ascii="Arial" w:hAnsi="Arial" w:cs="Arial"/>
        </w:rPr>
        <w:t>1</w:t>
      </w:r>
      <w:r w:rsidR="0024550D">
        <w:rPr>
          <w:rFonts w:ascii="Arial" w:hAnsi="Arial" w:cs="Arial"/>
        </w:rPr>
        <w:t>2</w:t>
      </w:r>
      <w:r w:rsidRPr="00DF04DC">
        <w:rPr>
          <w:rFonts w:ascii="Arial" w:hAnsi="Arial" w:cs="Arial"/>
        </w:rPr>
        <w:t xml:space="preserve"> – </w:t>
      </w:r>
      <w:r w:rsidRPr="00DF04DC">
        <w:rPr>
          <w:rFonts w:ascii="Arial" w:hAnsi="Arial" w:cs="Arial"/>
          <w:b/>
          <w:bCs/>
        </w:rPr>
        <w:t>Surfaces autorisées et surfaces commencées de bâtiments non résidentiels neufs</w:t>
      </w:r>
      <w:r w:rsidRPr="00DF04DC">
        <w:rPr>
          <w:rFonts w:ascii="Arial" w:hAnsi="Arial" w:cs="Arial"/>
        </w:rPr>
        <w:t xml:space="preserve">  (en date de prise en compte)</w:t>
      </w:r>
    </w:p>
    <w:p w14:paraId="7F5EFC4D" w14:textId="22038A88" w:rsidR="00DF04DC" w:rsidRPr="00E91C51" w:rsidRDefault="009D1C6B" w:rsidP="00DF04DC">
      <w:pPr>
        <w:spacing w:after="60" w:line="240" w:lineRule="auto"/>
        <w:jc w:val="both"/>
        <w:rPr>
          <w:rFonts w:ascii="Arial" w:hAnsi="Arial" w:cs="Arial"/>
        </w:rPr>
      </w:pPr>
      <w:r w:rsidRPr="00E91C51">
        <w:rPr>
          <w:rFonts w:ascii="Arial" w:hAnsi="Arial" w:cs="Arial"/>
          <w:noProof/>
        </w:rPr>
        <w:drawing>
          <wp:inline distT="0" distB="0" distL="0" distR="0" wp14:anchorId="4A37450F" wp14:editId="5864F98E">
            <wp:extent cx="5760720" cy="3064510"/>
            <wp:effectExtent l="0" t="0" r="0" b="2540"/>
            <wp:docPr id="7725857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4049A8D" w14:textId="77777777" w:rsidR="00DF04DC" w:rsidRDefault="00DF04DC" w:rsidP="00DF04DC">
      <w:pPr>
        <w:spacing w:after="120" w:line="360" w:lineRule="auto"/>
        <w:jc w:val="center"/>
        <w:rPr>
          <w:rFonts w:ascii="Arial" w:hAnsi="Arial" w:cs="Arial"/>
          <w:i/>
          <w:sz w:val="20"/>
          <w:szCs w:val="20"/>
        </w:rPr>
      </w:pPr>
      <w:r w:rsidRPr="00CB20BC">
        <w:rPr>
          <w:rFonts w:ascii="Arial" w:hAnsi="Arial" w:cs="Arial"/>
          <w:i/>
          <w:sz w:val="20"/>
          <w:szCs w:val="20"/>
        </w:rPr>
        <w:t xml:space="preserve">Source : </w:t>
      </w:r>
      <w:r>
        <w:rPr>
          <w:rFonts w:ascii="Arial" w:hAnsi="Arial" w:cs="Arial"/>
          <w:i/>
          <w:sz w:val="20"/>
          <w:szCs w:val="20"/>
        </w:rPr>
        <w:t>FFB d’après MTECT/</w:t>
      </w:r>
      <w:r w:rsidRPr="00CB20BC">
        <w:rPr>
          <w:rFonts w:ascii="Arial" w:hAnsi="Arial" w:cs="Arial"/>
          <w:i/>
          <w:sz w:val="20"/>
          <w:szCs w:val="20"/>
        </w:rPr>
        <w:t>CGDD</w:t>
      </w:r>
      <w:r>
        <w:rPr>
          <w:rFonts w:ascii="Arial" w:hAnsi="Arial" w:cs="Arial"/>
          <w:i/>
          <w:sz w:val="20"/>
          <w:szCs w:val="20"/>
        </w:rPr>
        <w:t>/SDES, Sit@del2</w:t>
      </w:r>
    </w:p>
    <w:p w14:paraId="75904E9E" w14:textId="5B6CDB12" w:rsidR="007B3459" w:rsidRPr="007F1E2F" w:rsidRDefault="00924655" w:rsidP="003A4577">
      <w:pPr>
        <w:spacing w:after="120" w:line="360" w:lineRule="auto"/>
        <w:jc w:val="both"/>
        <w:rPr>
          <w:rFonts w:ascii="Arial" w:hAnsi="Arial" w:cs="Arial"/>
        </w:rPr>
      </w:pPr>
      <w:r w:rsidRPr="007F1E2F">
        <w:rPr>
          <w:rFonts w:ascii="Arial" w:hAnsi="Arial" w:cs="Arial"/>
        </w:rPr>
        <w:lastRenderedPageBreak/>
        <w:t xml:space="preserve">Entre les </w:t>
      </w:r>
      <w:r w:rsidR="00EF3349" w:rsidRPr="007F1E2F">
        <w:rPr>
          <w:rFonts w:ascii="Arial" w:hAnsi="Arial" w:cs="Arial"/>
        </w:rPr>
        <w:t xml:space="preserve">sept </w:t>
      </w:r>
      <w:r w:rsidRPr="007F1E2F">
        <w:rPr>
          <w:rFonts w:ascii="Arial" w:hAnsi="Arial" w:cs="Arial"/>
        </w:rPr>
        <w:t xml:space="preserve">premiers </w:t>
      </w:r>
      <w:r w:rsidR="00EF3349" w:rsidRPr="007F1E2F">
        <w:rPr>
          <w:rFonts w:ascii="Arial" w:hAnsi="Arial" w:cs="Arial"/>
        </w:rPr>
        <w:t>mois</w:t>
      </w:r>
      <w:r w:rsidRPr="007F1E2F">
        <w:rPr>
          <w:rFonts w:ascii="Arial" w:hAnsi="Arial" w:cs="Arial"/>
        </w:rPr>
        <w:t xml:space="preserve"> 2023 et 2024</w:t>
      </w:r>
      <w:r w:rsidR="00013A86" w:rsidRPr="007F1E2F">
        <w:rPr>
          <w:rFonts w:ascii="Arial" w:hAnsi="Arial" w:cs="Arial"/>
        </w:rPr>
        <w:t xml:space="preserve">, les surfaces commencées </w:t>
      </w:r>
      <w:r w:rsidR="00871748" w:rsidRPr="007F1E2F">
        <w:rPr>
          <w:rFonts w:ascii="Arial" w:hAnsi="Arial" w:cs="Arial"/>
        </w:rPr>
        <w:t xml:space="preserve">comme autorisées </w:t>
      </w:r>
      <w:r w:rsidR="00013A86" w:rsidRPr="007F1E2F">
        <w:rPr>
          <w:rFonts w:ascii="Arial" w:hAnsi="Arial" w:cs="Arial"/>
        </w:rPr>
        <w:t xml:space="preserve">reculent dans </w:t>
      </w:r>
      <w:r w:rsidR="00642B15" w:rsidRPr="007F1E2F">
        <w:rPr>
          <w:rFonts w:ascii="Arial" w:hAnsi="Arial" w:cs="Arial"/>
        </w:rPr>
        <w:t>environ</w:t>
      </w:r>
      <w:r w:rsidR="00CE631B" w:rsidRPr="007F1E2F">
        <w:rPr>
          <w:rFonts w:ascii="Arial" w:hAnsi="Arial" w:cs="Arial"/>
        </w:rPr>
        <w:t xml:space="preserve"> </w:t>
      </w:r>
      <w:r w:rsidR="00871748" w:rsidRPr="007F1E2F">
        <w:rPr>
          <w:rFonts w:ascii="Arial" w:hAnsi="Arial" w:cs="Arial"/>
        </w:rPr>
        <w:t xml:space="preserve">la moitié </w:t>
      </w:r>
      <w:r w:rsidR="00642B15" w:rsidRPr="007F1E2F">
        <w:rPr>
          <w:rFonts w:ascii="Arial" w:hAnsi="Arial" w:cs="Arial"/>
        </w:rPr>
        <w:t>des</w:t>
      </w:r>
      <w:r w:rsidR="00013A86" w:rsidRPr="007F1E2F">
        <w:rPr>
          <w:rFonts w:ascii="Arial" w:hAnsi="Arial" w:cs="Arial"/>
        </w:rPr>
        <w:t xml:space="preserve"> régions</w:t>
      </w:r>
      <w:r w:rsidR="00383C27" w:rsidRPr="007F1E2F">
        <w:rPr>
          <w:rFonts w:ascii="Arial" w:hAnsi="Arial" w:cs="Arial"/>
        </w:rPr>
        <w:t xml:space="preserve"> </w:t>
      </w:r>
      <w:r w:rsidR="00013A86" w:rsidRPr="007F1E2F">
        <w:rPr>
          <w:rFonts w:ascii="Arial" w:hAnsi="Arial" w:cs="Arial"/>
        </w:rPr>
        <w:t>(cf. carte</w:t>
      </w:r>
      <w:r w:rsidR="00BE56D3">
        <w:rPr>
          <w:rFonts w:ascii="Arial" w:hAnsi="Arial" w:cs="Arial"/>
        </w:rPr>
        <w:t>s</w:t>
      </w:r>
      <w:r w:rsidR="00013A86" w:rsidRPr="007F1E2F">
        <w:rPr>
          <w:rFonts w:ascii="Arial" w:hAnsi="Arial" w:cs="Arial"/>
        </w:rPr>
        <w:t xml:space="preserve"> </w:t>
      </w:r>
      <w:r w:rsidR="00BE56D3">
        <w:rPr>
          <w:rFonts w:ascii="Arial" w:hAnsi="Arial" w:cs="Arial"/>
        </w:rPr>
        <w:t xml:space="preserve">3a et </w:t>
      </w:r>
      <w:r w:rsidR="00013A86" w:rsidRPr="007F1E2F">
        <w:rPr>
          <w:rFonts w:ascii="Arial" w:hAnsi="Arial" w:cs="Arial"/>
        </w:rPr>
        <w:t>3</w:t>
      </w:r>
      <w:r w:rsidR="00871748" w:rsidRPr="007F1E2F">
        <w:rPr>
          <w:rFonts w:ascii="Arial" w:hAnsi="Arial" w:cs="Arial"/>
        </w:rPr>
        <w:t>b</w:t>
      </w:r>
      <w:r w:rsidR="00013A86" w:rsidRPr="007F1E2F">
        <w:rPr>
          <w:rFonts w:ascii="Arial" w:hAnsi="Arial" w:cs="Arial"/>
        </w:rPr>
        <w:t>).</w:t>
      </w:r>
    </w:p>
    <w:p w14:paraId="06BAFE9B" w14:textId="784E505D" w:rsidR="00F35149" w:rsidRPr="007440B7" w:rsidRDefault="00F35149" w:rsidP="00925312">
      <w:pPr>
        <w:spacing w:after="0" w:line="360" w:lineRule="auto"/>
        <w:jc w:val="center"/>
        <w:rPr>
          <w:rFonts w:ascii="Arial" w:hAnsi="Arial" w:cs="Arial"/>
          <w:b/>
        </w:rPr>
      </w:pPr>
      <w:r w:rsidRPr="007440B7">
        <w:rPr>
          <w:rFonts w:ascii="Arial" w:hAnsi="Arial" w:cs="Arial"/>
        </w:rPr>
        <w:t>Cartes 3a et 3b –</w:t>
      </w:r>
      <w:r w:rsidR="003564B2">
        <w:rPr>
          <w:rFonts w:ascii="Arial" w:hAnsi="Arial" w:cs="Arial"/>
          <w:b/>
        </w:rPr>
        <w:t xml:space="preserve"> Évolutions régionales </w:t>
      </w:r>
      <w:r w:rsidR="003564B2" w:rsidRPr="007440B7">
        <w:rPr>
          <w:rFonts w:ascii="Arial" w:hAnsi="Arial" w:cs="Arial"/>
        </w:rPr>
        <w:t>(en</w:t>
      </w:r>
      <w:r w:rsidR="00E91C51">
        <w:rPr>
          <w:rFonts w:ascii="Arial" w:hAnsi="Arial" w:cs="Arial"/>
        </w:rPr>
        <w:t xml:space="preserve"> </w:t>
      </w:r>
      <w:r w:rsidR="00E26839">
        <w:rPr>
          <w:rFonts w:ascii="Arial" w:hAnsi="Arial" w:cs="Arial"/>
        </w:rPr>
        <w:t>%</w:t>
      </w:r>
      <w:r w:rsidR="003564B2" w:rsidRPr="007440B7">
        <w:rPr>
          <w:rFonts w:ascii="Arial" w:hAnsi="Arial" w:cs="Arial"/>
        </w:rPr>
        <w:t>)</w:t>
      </w:r>
      <w:r w:rsidR="003564B2">
        <w:rPr>
          <w:rFonts w:ascii="Arial" w:hAnsi="Arial" w:cs="Arial"/>
        </w:rPr>
        <w:t xml:space="preserve"> </w:t>
      </w:r>
      <w:r w:rsidR="003564B2" w:rsidRPr="007440B7">
        <w:rPr>
          <w:rFonts w:ascii="Arial" w:hAnsi="Arial" w:cs="Arial"/>
          <w:b/>
        </w:rPr>
        <w:t xml:space="preserve">des surfaces commencées et autorisées de bâtiments non résidentiels </w:t>
      </w:r>
      <w:r w:rsidR="008D6EEC">
        <w:rPr>
          <w:rFonts w:ascii="Arial" w:hAnsi="Arial" w:cs="Arial"/>
          <w:b/>
        </w:rPr>
        <w:t xml:space="preserve">en glissement annuel sur </w:t>
      </w:r>
      <w:r w:rsidR="009D1C6B">
        <w:rPr>
          <w:rFonts w:ascii="Arial" w:hAnsi="Arial" w:cs="Arial"/>
          <w:b/>
        </w:rPr>
        <w:t>sept</w:t>
      </w:r>
      <w:r w:rsidR="008D6EEC">
        <w:rPr>
          <w:rFonts w:ascii="Arial" w:hAnsi="Arial" w:cs="Arial"/>
          <w:b/>
        </w:rPr>
        <w:t xml:space="preserve"> mois à fin </w:t>
      </w:r>
      <w:r w:rsidR="009D1C6B">
        <w:rPr>
          <w:rFonts w:ascii="Arial" w:hAnsi="Arial" w:cs="Arial"/>
          <w:b/>
        </w:rPr>
        <w:t>juillet</w:t>
      </w:r>
      <w:r w:rsidR="008D6EEC">
        <w:rPr>
          <w:rFonts w:ascii="Arial" w:hAnsi="Arial" w:cs="Arial"/>
          <w:b/>
        </w:rPr>
        <w:t xml:space="preserve"> 2024</w:t>
      </w:r>
      <w:r w:rsidR="006E7A8B">
        <w:rPr>
          <w:rFonts w:ascii="Arial" w:hAnsi="Arial" w:cs="Arial"/>
          <w:b/>
        </w:rPr>
        <w:t xml:space="preserve"> </w:t>
      </w:r>
    </w:p>
    <w:p w14:paraId="7ECFABBE" w14:textId="731E66A8" w:rsidR="00F90907" w:rsidRPr="00407827" w:rsidRDefault="009D1C6B" w:rsidP="003332F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70551EE8" wp14:editId="157A387E">
            <wp:extent cx="5760720" cy="2508885"/>
            <wp:effectExtent l="0" t="0" r="0" b="5715"/>
            <wp:docPr id="1150863373" name="Image 15"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3373" name="Image 15" descr="Une image contenant texte, carte, atlas&#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760720" cy="2508885"/>
                    </a:xfrm>
                    <a:prstGeom prst="rect">
                      <a:avLst/>
                    </a:prstGeom>
                  </pic:spPr>
                </pic:pic>
              </a:graphicData>
            </a:graphic>
          </wp:inline>
        </w:drawing>
      </w:r>
    </w:p>
    <w:p w14:paraId="238705A9" w14:textId="41EA78B2" w:rsidR="00F35149" w:rsidRDefault="00F35149" w:rsidP="008C5837">
      <w:pPr>
        <w:spacing w:after="120" w:line="360" w:lineRule="auto"/>
        <w:jc w:val="center"/>
        <w:rPr>
          <w:rFonts w:ascii="Arial" w:hAnsi="Arial" w:cs="Arial"/>
          <w:i/>
          <w:sz w:val="20"/>
          <w:szCs w:val="20"/>
        </w:rPr>
      </w:pPr>
      <w:r w:rsidRPr="00767A96">
        <w:rPr>
          <w:rFonts w:ascii="Arial" w:hAnsi="Arial" w:cs="Arial"/>
          <w:i/>
          <w:sz w:val="20"/>
          <w:szCs w:val="20"/>
        </w:rPr>
        <w:t>Source : MTE</w:t>
      </w:r>
      <w:r w:rsidR="00F0066B">
        <w:rPr>
          <w:rFonts w:ascii="Arial" w:hAnsi="Arial" w:cs="Arial"/>
          <w:i/>
          <w:sz w:val="20"/>
          <w:szCs w:val="20"/>
        </w:rPr>
        <w:t>CT</w:t>
      </w:r>
      <w:r w:rsidRPr="00767A96">
        <w:rPr>
          <w:rFonts w:ascii="Arial" w:hAnsi="Arial" w:cs="Arial"/>
          <w:i/>
          <w:sz w:val="20"/>
          <w:szCs w:val="20"/>
        </w:rPr>
        <w:t>/CGDD/SDES, Sit@del2</w:t>
      </w:r>
    </w:p>
    <w:p w14:paraId="56E46518" w14:textId="6DFAD6CC" w:rsidR="00EF2D2E" w:rsidRPr="00EA0536" w:rsidRDefault="00EF2D2E" w:rsidP="00274D97">
      <w:pPr>
        <w:spacing w:before="360" w:after="120" w:line="360" w:lineRule="auto"/>
        <w:rPr>
          <w:rFonts w:ascii="Arial" w:hAnsi="Arial" w:cs="Arial"/>
          <w:u w:val="single"/>
        </w:rPr>
      </w:pPr>
      <w:r w:rsidRPr="00EA0536">
        <w:rPr>
          <w:rFonts w:ascii="Arial" w:hAnsi="Arial" w:cs="Arial"/>
          <w:u w:val="single"/>
        </w:rPr>
        <w:t>2.3 L’amélioration-entretien</w:t>
      </w:r>
    </w:p>
    <w:p w14:paraId="2C0E041A" w14:textId="5A60A968" w:rsidR="00773E83" w:rsidRPr="007D2F3C" w:rsidRDefault="00185FC6" w:rsidP="00F07564">
      <w:pPr>
        <w:spacing w:after="120" w:line="360" w:lineRule="auto"/>
        <w:jc w:val="both"/>
        <w:rPr>
          <w:rFonts w:ascii="Arial" w:hAnsi="Arial" w:cs="Arial"/>
        </w:rPr>
      </w:pPr>
      <w:r w:rsidRPr="007D2F3C">
        <w:rPr>
          <w:rFonts w:ascii="Arial" w:hAnsi="Arial" w:cs="Arial"/>
        </w:rPr>
        <w:t>D’après les résultats de l’enquête des Cerc sur l’activité en rénovation commandée par la FFB, la production d’ensemble poursuit son ralentissement. Elle s’affiche ainsi à +1,</w:t>
      </w:r>
      <w:r w:rsidR="007D2F3C" w:rsidRPr="007D2F3C">
        <w:rPr>
          <w:rFonts w:ascii="Arial" w:hAnsi="Arial" w:cs="Arial"/>
        </w:rPr>
        <w:t>1</w:t>
      </w:r>
      <w:r w:rsidR="00E91C51">
        <w:rPr>
          <w:rFonts w:ascii="Arial" w:hAnsi="Arial" w:cs="Arial"/>
        </w:rPr>
        <w:t> %</w:t>
      </w:r>
      <w:r w:rsidRPr="007D2F3C">
        <w:rPr>
          <w:rFonts w:ascii="Arial" w:hAnsi="Arial" w:cs="Arial"/>
        </w:rPr>
        <w:t xml:space="preserve"> en glissement annuel sur le deuxième trimestre 2024 à prix constants (cf. graphique</w:t>
      </w:r>
      <w:r w:rsidR="00BE56D3">
        <w:rPr>
          <w:rFonts w:ascii="Arial" w:hAnsi="Arial" w:cs="Arial"/>
        </w:rPr>
        <w:t xml:space="preserve"> </w:t>
      </w:r>
      <w:r w:rsidR="001C40B3" w:rsidRPr="007D2F3C">
        <w:rPr>
          <w:rFonts w:ascii="Arial" w:hAnsi="Arial" w:cs="Arial"/>
        </w:rPr>
        <w:t>13</w:t>
      </w:r>
      <w:r w:rsidRPr="007D2F3C">
        <w:rPr>
          <w:rFonts w:ascii="Arial" w:hAnsi="Arial" w:cs="Arial"/>
        </w:rPr>
        <w:t>), après +1,7</w:t>
      </w:r>
      <w:r w:rsidR="00E91C51">
        <w:rPr>
          <w:rFonts w:ascii="Arial" w:hAnsi="Arial" w:cs="Arial"/>
        </w:rPr>
        <w:t> %</w:t>
      </w:r>
      <w:r w:rsidRPr="007D2F3C">
        <w:rPr>
          <w:rFonts w:ascii="Arial" w:hAnsi="Arial" w:cs="Arial"/>
        </w:rPr>
        <w:t xml:space="preserve"> au premier trimestre 2024, et encore +2,6</w:t>
      </w:r>
      <w:r w:rsidR="00E91C51">
        <w:rPr>
          <w:rFonts w:ascii="Arial" w:hAnsi="Arial" w:cs="Arial"/>
        </w:rPr>
        <w:t> %</w:t>
      </w:r>
      <w:r w:rsidRPr="007D2F3C">
        <w:rPr>
          <w:rFonts w:ascii="Arial" w:hAnsi="Arial" w:cs="Arial"/>
        </w:rPr>
        <w:t xml:space="preserve"> et +3,0</w:t>
      </w:r>
      <w:r w:rsidR="00E91C51">
        <w:rPr>
          <w:rFonts w:ascii="Arial" w:hAnsi="Arial" w:cs="Arial"/>
        </w:rPr>
        <w:t> %</w:t>
      </w:r>
      <w:r w:rsidRPr="007D2F3C">
        <w:rPr>
          <w:rFonts w:ascii="Arial" w:hAnsi="Arial" w:cs="Arial"/>
        </w:rPr>
        <w:t xml:space="preserve"> aux quatrième et troisième trimestres 2023.</w:t>
      </w:r>
    </w:p>
    <w:p w14:paraId="37893316" w14:textId="3ECF6949" w:rsidR="001C40B3" w:rsidRPr="007D2F3C" w:rsidRDefault="00F07564" w:rsidP="00F07564">
      <w:pPr>
        <w:spacing w:after="120" w:line="360" w:lineRule="auto"/>
        <w:jc w:val="both"/>
        <w:rPr>
          <w:rFonts w:ascii="Arial" w:hAnsi="Arial" w:cs="Arial"/>
        </w:rPr>
      </w:pPr>
      <w:r w:rsidRPr="007D2F3C">
        <w:rPr>
          <w:rFonts w:ascii="Arial" w:hAnsi="Arial" w:cs="Arial"/>
        </w:rPr>
        <w:t>Entre les deuxième</w:t>
      </w:r>
      <w:r w:rsidR="001C40B3" w:rsidRPr="007D2F3C">
        <w:rPr>
          <w:rFonts w:ascii="Arial" w:hAnsi="Arial" w:cs="Arial"/>
        </w:rPr>
        <w:t>s</w:t>
      </w:r>
      <w:r w:rsidRPr="007D2F3C">
        <w:rPr>
          <w:rFonts w:ascii="Arial" w:hAnsi="Arial" w:cs="Arial"/>
        </w:rPr>
        <w:t xml:space="preserve"> trimestres 2023 et 2024, le logement ralentit nettement jusqu’à se stabiliser </w:t>
      </w:r>
      <w:r w:rsidR="007D2F3C" w:rsidRPr="007D2F3C">
        <w:rPr>
          <w:rFonts w:ascii="Arial" w:hAnsi="Arial" w:cs="Arial"/>
        </w:rPr>
        <w:t xml:space="preserve">quasiment </w:t>
      </w:r>
      <w:r w:rsidRPr="007D2F3C">
        <w:rPr>
          <w:rFonts w:ascii="Arial" w:hAnsi="Arial" w:cs="Arial"/>
        </w:rPr>
        <w:t>(+0,</w:t>
      </w:r>
      <w:r w:rsidR="007D2F3C" w:rsidRPr="007D2F3C">
        <w:rPr>
          <w:rFonts w:ascii="Arial" w:hAnsi="Arial" w:cs="Arial"/>
        </w:rPr>
        <w:t>1</w:t>
      </w:r>
      <w:r w:rsidR="00E91C51">
        <w:rPr>
          <w:rFonts w:ascii="Arial" w:hAnsi="Arial" w:cs="Arial"/>
        </w:rPr>
        <w:t> %</w:t>
      </w:r>
      <w:r w:rsidRPr="007D2F3C">
        <w:rPr>
          <w:rFonts w:ascii="Arial" w:hAnsi="Arial" w:cs="Arial"/>
        </w:rPr>
        <w:t xml:space="preserve"> en volume </w:t>
      </w:r>
      <w:r w:rsidRPr="002E5006">
        <w:rPr>
          <w:rFonts w:ascii="Arial" w:hAnsi="Arial" w:cs="Arial"/>
          <w:i/>
          <w:iCs/>
        </w:rPr>
        <w:t>versus</w:t>
      </w:r>
      <w:r w:rsidRPr="007D2F3C">
        <w:rPr>
          <w:rFonts w:ascii="Arial" w:hAnsi="Arial" w:cs="Arial"/>
        </w:rPr>
        <w:t xml:space="preserve"> +1,4</w:t>
      </w:r>
      <w:r w:rsidR="00E91C51">
        <w:rPr>
          <w:rFonts w:ascii="Arial" w:hAnsi="Arial" w:cs="Arial"/>
        </w:rPr>
        <w:t> %</w:t>
      </w:r>
      <w:r w:rsidRPr="007D2F3C">
        <w:rPr>
          <w:rFonts w:ascii="Arial" w:hAnsi="Arial" w:cs="Arial"/>
        </w:rPr>
        <w:t xml:space="preserve"> au trimestre précédent). L’atterrissage de la rénovation énergétique l’explique largement, tirée vers le bas par la réforme ratée de MaPrimeRénov’. </w:t>
      </w:r>
    </w:p>
    <w:p w14:paraId="2198F165" w14:textId="314DC250" w:rsidR="008D7D6E" w:rsidRPr="007D2F3C" w:rsidRDefault="001C40B3" w:rsidP="00F07564">
      <w:pPr>
        <w:spacing w:after="120" w:line="360" w:lineRule="auto"/>
        <w:jc w:val="both"/>
        <w:rPr>
          <w:rFonts w:ascii="Arial" w:hAnsi="Arial" w:cs="Arial"/>
        </w:rPr>
      </w:pPr>
      <w:r w:rsidRPr="007D2F3C">
        <w:rPr>
          <w:rFonts w:ascii="Arial" w:hAnsi="Arial" w:cs="Arial"/>
        </w:rPr>
        <w:t>L’échec ressort d’autant plus remarquable que l’activité rénovation dans le non résidentiel continue d’accélérer, à +3,</w:t>
      </w:r>
      <w:r w:rsidR="007D2F3C" w:rsidRPr="007D2F3C">
        <w:rPr>
          <w:rFonts w:ascii="Arial" w:hAnsi="Arial" w:cs="Arial"/>
        </w:rPr>
        <w:t>7</w:t>
      </w:r>
      <w:r w:rsidR="00E91C51">
        <w:rPr>
          <w:rFonts w:ascii="Arial" w:hAnsi="Arial" w:cs="Arial"/>
        </w:rPr>
        <w:t> %</w:t>
      </w:r>
      <w:r w:rsidRPr="007D2F3C">
        <w:rPr>
          <w:rFonts w:ascii="Arial" w:hAnsi="Arial" w:cs="Arial"/>
        </w:rPr>
        <w:t xml:space="preserve"> à prix constants contre +2,</w:t>
      </w:r>
      <w:r w:rsidR="007D2F3C" w:rsidRPr="007D2F3C">
        <w:rPr>
          <w:rFonts w:ascii="Arial" w:hAnsi="Arial" w:cs="Arial"/>
        </w:rPr>
        <w:t>6</w:t>
      </w:r>
      <w:r w:rsidR="00E91C51">
        <w:rPr>
          <w:rFonts w:ascii="Arial" w:hAnsi="Arial" w:cs="Arial"/>
        </w:rPr>
        <w:t> %</w:t>
      </w:r>
      <w:r w:rsidRPr="007D2F3C">
        <w:rPr>
          <w:rFonts w:ascii="Arial" w:hAnsi="Arial" w:cs="Arial"/>
        </w:rPr>
        <w:t xml:space="preserve"> au trimestre précédent, bien que les travaux de rénovation énergétique ralentissent à +2,</w:t>
      </w:r>
      <w:r w:rsidR="007D2F3C" w:rsidRPr="007D2F3C">
        <w:rPr>
          <w:rFonts w:ascii="Arial" w:hAnsi="Arial" w:cs="Arial"/>
        </w:rPr>
        <w:t>3</w:t>
      </w:r>
      <w:r w:rsidR="00E91C51">
        <w:rPr>
          <w:rFonts w:ascii="Arial" w:hAnsi="Arial" w:cs="Arial"/>
        </w:rPr>
        <w:t> %</w:t>
      </w:r>
      <w:r w:rsidRPr="007D2F3C">
        <w:rPr>
          <w:rFonts w:ascii="Arial" w:hAnsi="Arial" w:cs="Arial"/>
        </w:rPr>
        <w:t xml:space="preserve"> après +7,4</w:t>
      </w:r>
      <w:r w:rsidR="00E91C51">
        <w:rPr>
          <w:rFonts w:ascii="Arial" w:hAnsi="Arial" w:cs="Arial"/>
        </w:rPr>
        <w:t> %</w:t>
      </w:r>
      <w:r w:rsidRPr="007D2F3C">
        <w:rPr>
          <w:rFonts w:ascii="Arial" w:hAnsi="Arial" w:cs="Arial"/>
        </w:rPr>
        <w:t>.</w:t>
      </w:r>
      <w:r w:rsidR="008D7D6E" w:rsidRPr="007D2F3C">
        <w:rPr>
          <w:rFonts w:ascii="Arial" w:hAnsi="Arial" w:cs="Arial"/>
        </w:rPr>
        <w:br w:type="page"/>
      </w:r>
    </w:p>
    <w:p w14:paraId="177270EA" w14:textId="4C3ED5B2" w:rsidR="0054174A" w:rsidRPr="00420AA9" w:rsidRDefault="00CA2412" w:rsidP="00B34893">
      <w:pPr>
        <w:jc w:val="center"/>
        <w:rPr>
          <w:rFonts w:ascii="Arial" w:hAnsi="Arial" w:cs="Arial"/>
        </w:rPr>
      </w:pPr>
      <w:r w:rsidRPr="00884C3F">
        <w:rPr>
          <w:rFonts w:ascii="Arial" w:hAnsi="Arial" w:cs="Arial"/>
        </w:rPr>
        <w:lastRenderedPageBreak/>
        <w:t xml:space="preserve">Graphique </w:t>
      </w:r>
      <w:r w:rsidR="00045AAA" w:rsidRPr="00884C3F">
        <w:rPr>
          <w:rFonts w:ascii="Arial" w:hAnsi="Arial" w:cs="Arial"/>
        </w:rPr>
        <w:t>1</w:t>
      </w:r>
      <w:r w:rsidR="0024550D">
        <w:rPr>
          <w:rFonts w:ascii="Arial" w:hAnsi="Arial" w:cs="Arial"/>
        </w:rPr>
        <w:t>3</w:t>
      </w:r>
      <w:r w:rsidR="0054174A" w:rsidRPr="00884C3F">
        <w:rPr>
          <w:rFonts w:ascii="Arial" w:hAnsi="Arial" w:cs="Arial"/>
        </w:rPr>
        <w:t xml:space="preserve"> –</w:t>
      </w:r>
      <w:r w:rsidR="00B713C5">
        <w:rPr>
          <w:rFonts w:ascii="Arial" w:hAnsi="Arial" w:cs="Arial"/>
        </w:rPr>
        <w:t xml:space="preserve"> </w:t>
      </w:r>
      <w:r w:rsidR="00B713C5" w:rsidRPr="00B713C5">
        <w:rPr>
          <w:rFonts w:ascii="Arial" w:hAnsi="Arial" w:cs="Arial"/>
          <w:b/>
        </w:rPr>
        <w:t>A</w:t>
      </w:r>
      <w:r w:rsidR="0054174A" w:rsidRPr="00B713C5">
        <w:rPr>
          <w:rFonts w:ascii="Arial" w:hAnsi="Arial" w:cs="Arial"/>
          <w:b/>
        </w:rPr>
        <w:t>ctivité</w:t>
      </w:r>
      <w:r w:rsidR="0054174A" w:rsidRPr="00884C3F">
        <w:rPr>
          <w:rFonts w:ascii="Arial" w:hAnsi="Arial" w:cs="Arial"/>
          <w:b/>
        </w:rPr>
        <w:t xml:space="preserve"> d’amélioration-entretien</w:t>
      </w:r>
      <w:r w:rsidR="00B713C5">
        <w:rPr>
          <w:rFonts w:ascii="Arial" w:hAnsi="Arial" w:cs="Arial"/>
          <w:b/>
        </w:rPr>
        <w:t xml:space="preserve"> </w:t>
      </w:r>
      <w:r w:rsidR="00B713C5" w:rsidRPr="00420AA9">
        <w:rPr>
          <w:rFonts w:ascii="Arial" w:hAnsi="Arial" w:cs="Arial"/>
        </w:rPr>
        <w:t>(en volume)</w:t>
      </w:r>
    </w:p>
    <w:p w14:paraId="1C626D38" w14:textId="14B8FBEF" w:rsidR="0054174A" w:rsidRPr="005C3BCA" w:rsidRDefault="009D1C6B" w:rsidP="00C07938">
      <w:pPr>
        <w:spacing w:after="60" w:line="240" w:lineRule="auto"/>
        <w:jc w:val="center"/>
        <w:rPr>
          <w:rFonts w:ascii="Arial" w:hAnsi="Arial" w:cs="Arial"/>
        </w:rPr>
      </w:pPr>
      <w:r w:rsidRPr="009D1C6B">
        <w:rPr>
          <w:rFonts w:ascii="Arial" w:hAnsi="Arial" w:cs="Arial"/>
          <w:noProof/>
        </w:rPr>
        <w:drawing>
          <wp:inline distT="0" distB="0" distL="0" distR="0" wp14:anchorId="6EF52864" wp14:editId="7A1F9BE7">
            <wp:extent cx="5760720" cy="3064510"/>
            <wp:effectExtent l="0" t="0" r="0" b="2540"/>
            <wp:docPr id="8681450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0704B744" w14:textId="5CB9958D" w:rsidR="0054174A" w:rsidRPr="00884C3F" w:rsidRDefault="0054174A" w:rsidP="00273693">
      <w:pPr>
        <w:spacing w:after="120" w:line="360" w:lineRule="auto"/>
        <w:jc w:val="center"/>
        <w:rPr>
          <w:rFonts w:ascii="Arial" w:hAnsi="Arial" w:cs="Arial"/>
          <w:i/>
          <w:sz w:val="20"/>
          <w:szCs w:val="20"/>
        </w:rPr>
      </w:pPr>
      <w:r w:rsidRPr="00884C3F">
        <w:rPr>
          <w:rFonts w:ascii="Arial" w:hAnsi="Arial" w:cs="Arial"/>
          <w:i/>
          <w:sz w:val="20"/>
          <w:szCs w:val="20"/>
        </w:rPr>
        <w:t>Source : FFB/Réseau des C</w:t>
      </w:r>
      <w:r w:rsidR="00696132">
        <w:rPr>
          <w:rFonts w:ascii="Arial" w:hAnsi="Arial" w:cs="Arial"/>
          <w:i/>
          <w:sz w:val="20"/>
          <w:szCs w:val="20"/>
        </w:rPr>
        <w:t>erc</w:t>
      </w:r>
    </w:p>
    <w:p w14:paraId="727C48A6" w14:textId="5BCE1B1A" w:rsidR="00EF49C1" w:rsidRPr="00201AAB" w:rsidRDefault="00CD3A3D" w:rsidP="00CD3A3D">
      <w:pPr>
        <w:spacing w:after="120" w:line="360" w:lineRule="auto"/>
        <w:jc w:val="both"/>
        <w:rPr>
          <w:rFonts w:ascii="Arial" w:hAnsi="Arial" w:cs="Arial"/>
        </w:rPr>
      </w:pPr>
      <w:r w:rsidRPr="00201AAB">
        <w:rPr>
          <w:rFonts w:ascii="Arial" w:hAnsi="Arial" w:cs="Arial"/>
        </w:rPr>
        <w:t>Toutes les régions enregistr</w:t>
      </w:r>
      <w:r w:rsidR="00B073DB" w:rsidRPr="00201AAB">
        <w:rPr>
          <w:rFonts w:ascii="Arial" w:hAnsi="Arial" w:cs="Arial"/>
        </w:rPr>
        <w:t>e</w:t>
      </w:r>
      <w:r w:rsidRPr="00201AAB">
        <w:rPr>
          <w:rFonts w:ascii="Arial" w:hAnsi="Arial" w:cs="Arial"/>
        </w:rPr>
        <w:t xml:space="preserve">nt une hausse de leur activité </w:t>
      </w:r>
      <w:r w:rsidR="00A55D54" w:rsidRPr="00201AAB">
        <w:rPr>
          <w:rFonts w:ascii="Arial" w:hAnsi="Arial" w:cs="Arial"/>
        </w:rPr>
        <w:t xml:space="preserve">d’ensemble </w:t>
      </w:r>
      <w:r w:rsidR="00B073DB" w:rsidRPr="00201AAB">
        <w:rPr>
          <w:rFonts w:ascii="Arial" w:hAnsi="Arial" w:cs="Arial"/>
        </w:rPr>
        <w:t xml:space="preserve">en volume entre les </w:t>
      </w:r>
      <w:r w:rsidR="00201AAB" w:rsidRPr="00201AAB">
        <w:rPr>
          <w:rFonts w:ascii="Arial" w:hAnsi="Arial" w:cs="Arial"/>
        </w:rPr>
        <w:t>deuxièmes</w:t>
      </w:r>
      <w:r w:rsidR="00B073DB" w:rsidRPr="00201AAB">
        <w:rPr>
          <w:rFonts w:ascii="Arial" w:hAnsi="Arial" w:cs="Arial"/>
        </w:rPr>
        <w:t xml:space="preserve"> trimestres 2023 et 2024</w:t>
      </w:r>
      <w:r w:rsidR="00A55D54" w:rsidRPr="00201AAB">
        <w:rPr>
          <w:rFonts w:ascii="Arial" w:hAnsi="Arial" w:cs="Arial"/>
        </w:rPr>
        <w:t xml:space="preserve"> (cf. carte 4a)</w:t>
      </w:r>
      <w:r w:rsidRPr="00201AAB">
        <w:rPr>
          <w:rFonts w:ascii="Arial" w:hAnsi="Arial" w:cs="Arial"/>
        </w:rPr>
        <w:t xml:space="preserve">. </w:t>
      </w:r>
      <w:r w:rsidR="00E91C51">
        <w:rPr>
          <w:rFonts w:ascii="Arial" w:hAnsi="Arial" w:cs="Arial"/>
        </w:rPr>
        <w:t>L</w:t>
      </w:r>
      <w:r w:rsidR="00201AAB" w:rsidRPr="00201AAB">
        <w:rPr>
          <w:rFonts w:ascii="Arial" w:hAnsi="Arial" w:cs="Arial"/>
        </w:rPr>
        <w:t>a Bretagne et les Pays de la Loire</w:t>
      </w:r>
      <w:r w:rsidRPr="00201AAB">
        <w:rPr>
          <w:rFonts w:ascii="Arial" w:hAnsi="Arial" w:cs="Arial"/>
        </w:rPr>
        <w:t xml:space="preserve"> </w:t>
      </w:r>
      <w:r w:rsidR="00201AAB" w:rsidRPr="00201AAB">
        <w:rPr>
          <w:rFonts w:ascii="Arial" w:hAnsi="Arial" w:cs="Arial"/>
        </w:rPr>
        <w:t xml:space="preserve">se lisent à +2,2 % </w:t>
      </w:r>
      <w:r w:rsidRPr="00201AAB">
        <w:rPr>
          <w:rFonts w:ascii="Arial" w:hAnsi="Arial" w:cs="Arial"/>
        </w:rPr>
        <w:t>à prix constants, alors</w:t>
      </w:r>
      <w:r w:rsidR="00A55D54" w:rsidRPr="00201AAB">
        <w:rPr>
          <w:rFonts w:ascii="Arial" w:hAnsi="Arial" w:cs="Arial"/>
        </w:rPr>
        <w:t xml:space="preserve"> que</w:t>
      </w:r>
      <w:r w:rsidRPr="00201AAB">
        <w:rPr>
          <w:rFonts w:ascii="Arial" w:hAnsi="Arial" w:cs="Arial"/>
        </w:rPr>
        <w:t xml:space="preserve"> </w:t>
      </w:r>
      <w:r w:rsidR="00201AAB" w:rsidRPr="00201AAB">
        <w:rPr>
          <w:rFonts w:ascii="Arial" w:hAnsi="Arial" w:cs="Arial"/>
        </w:rPr>
        <w:t xml:space="preserve">PACA, </w:t>
      </w:r>
      <w:r w:rsidRPr="00201AAB">
        <w:rPr>
          <w:rFonts w:ascii="Arial" w:hAnsi="Arial" w:cs="Arial"/>
        </w:rPr>
        <w:t>l’Île-de-</w:t>
      </w:r>
      <w:r w:rsidR="00201AAB" w:rsidRPr="00201AAB">
        <w:rPr>
          <w:rFonts w:ascii="Arial" w:hAnsi="Arial" w:cs="Arial"/>
        </w:rPr>
        <w:t>France, Occitanie, Bourgogne-Franche-Comté et Hauts-de-France</w:t>
      </w:r>
      <w:r w:rsidRPr="00201AAB">
        <w:rPr>
          <w:rFonts w:ascii="Arial" w:hAnsi="Arial" w:cs="Arial"/>
        </w:rPr>
        <w:t xml:space="preserve"> </w:t>
      </w:r>
      <w:r w:rsidR="00201AAB" w:rsidRPr="00201AAB">
        <w:rPr>
          <w:rFonts w:ascii="Arial" w:hAnsi="Arial" w:cs="Arial"/>
        </w:rPr>
        <w:t>affichent un score de moins de 1 %.</w:t>
      </w:r>
      <w:r w:rsidR="00621F08" w:rsidRPr="00201AAB">
        <w:rPr>
          <w:rFonts w:ascii="Arial" w:hAnsi="Arial" w:cs="Arial"/>
        </w:rPr>
        <w:t xml:space="preserve"> Si l’on se limite à la rénovation énergétique, </w:t>
      </w:r>
      <w:r w:rsidR="00201AAB" w:rsidRPr="00201AAB">
        <w:rPr>
          <w:rFonts w:ascii="Arial" w:hAnsi="Arial" w:cs="Arial"/>
        </w:rPr>
        <w:t xml:space="preserve">deux régions ressortent </w:t>
      </w:r>
      <w:r w:rsidR="00E91C51">
        <w:rPr>
          <w:rFonts w:ascii="Arial" w:hAnsi="Arial" w:cs="Arial"/>
        </w:rPr>
        <w:t xml:space="preserve">néanmoins </w:t>
      </w:r>
      <w:r w:rsidR="00201AAB" w:rsidRPr="00201AAB">
        <w:rPr>
          <w:rFonts w:ascii="Arial" w:hAnsi="Arial" w:cs="Arial"/>
        </w:rPr>
        <w:t>en repli : les Hauts-de-France et l’Île-de-France (cf. carte 4b)</w:t>
      </w:r>
      <w:r w:rsidR="00621F08" w:rsidRPr="00201AAB">
        <w:rPr>
          <w:rFonts w:ascii="Arial" w:hAnsi="Arial" w:cs="Arial"/>
        </w:rPr>
        <w:t>.</w:t>
      </w:r>
    </w:p>
    <w:p w14:paraId="688810B7" w14:textId="4F2EFAB0" w:rsidR="00DD4403" w:rsidRPr="00884C3F" w:rsidRDefault="00D832CC" w:rsidP="008E332D">
      <w:pPr>
        <w:spacing w:after="0" w:line="360" w:lineRule="auto"/>
        <w:jc w:val="center"/>
        <w:rPr>
          <w:rFonts w:ascii="Arial" w:hAnsi="Arial" w:cs="Arial"/>
          <w:b/>
        </w:rPr>
      </w:pPr>
      <w:r w:rsidRPr="007440B7">
        <w:rPr>
          <w:rFonts w:ascii="Arial" w:hAnsi="Arial" w:cs="Arial"/>
        </w:rPr>
        <w:t xml:space="preserve">Cartes </w:t>
      </w:r>
      <w:r>
        <w:rPr>
          <w:rFonts w:ascii="Arial" w:hAnsi="Arial" w:cs="Arial"/>
        </w:rPr>
        <w:t>4</w:t>
      </w:r>
      <w:r w:rsidRPr="007440B7">
        <w:rPr>
          <w:rFonts w:ascii="Arial" w:hAnsi="Arial" w:cs="Arial"/>
        </w:rPr>
        <w:t xml:space="preserve">a et </w:t>
      </w:r>
      <w:r>
        <w:rPr>
          <w:rFonts w:ascii="Arial" w:hAnsi="Arial" w:cs="Arial"/>
        </w:rPr>
        <w:t>4</w:t>
      </w:r>
      <w:r w:rsidRPr="007440B7">
        <w:rPr>
          <w:rFonts w:ascii="Arial" w:hAnsi="Arial" w:cs="Arial"/>
        </w:rPr>
        <w:t>b</w:t>
      </w:r>
      <w:r w:rsidR="00DD4403" w:rsidRPr="00884C3F">
        <w:rPr>
          <w:rFonts w:ascii="Arial" w:hAnsi="Arial" w:cs="Arial"/>
        </w:rPr>
        <w:t xml:space="preserve"> –</w:t>
      </w:r>
      <w:r w:rsidR="003E2628" w:rsidRPr="00884C3F">
        <w:rPr>
          <w:rFonts w:ascii="Arial" w:hAnsi="Arial" w:cs="Arial"/>
        </w:rPr>
        <w:t xml:space="preserve"> </w:t>
      </w:r>
      <w:r w:rsidR="001F6ED5">
        <w:rPr>
          <w:rFonts w:ascii="Arial" w:hAnsi="Arial" w:cs="Arial"/>
          <w:b/>
        </w:rPr>
        <w:t xml:space="preserve">Évolutions régionales </w:t>
      </w:r>
      <w:r w:rsidR="001F6ED5" w:rsidRPr="00570B54">
        <w:rPr>
          <w:rFonts w:ascii="Arial" w:hAnsi="Arial" w:cs="Arial"/>
        </w:rPr>
        <w:t>(en</w:t>
      </w:r>
      <w:r w:rsidR="00E26839">
        <w:rPr>
          <w:rFonts w:ascii="Arial" w:hAnsi="Arial" w:cs="Arial"/>
        </w:rPr>
        <w:t> %</w:t>
      </w:r>
      <w:r w:rsidR="0039439F">
        <w:rPr>
          <w:rFonts w:ascii="Arial" w:hAnsi="Arial" w:cs="Arial"/>
        </w:rPr>
        <w:t xml:space="preserve"> et en volume</w:t>
      </w:r>
      <w:r w:rsidR="001F6ED5" w:rsidRPr="00570B54">
        <w:rPr>
          <w:rFonts w:ascii="Arial" w:hAnsi="Arial" w:cs="Arial"/>
        </w:rPr>
        <w:t>)</w:t>
      </w:r>
      <w:r w:rsidR="001F6ED5">
        <w:rPr>
          <w:rFonts w:ascii="Arial" w:hAnsi="Arial" w:cs="Arial"/>
          <w:b/>
        </w:rPr>
        <w:t xml:space="preserve"> de l’activité en </w:t>
      </w:r>
      <w:r w:rsidR="00DB30B4" w:rsidRPr="00884C3F">
        <w:rPr>
          <w:rFonts w:ascii="Arial" w:hAnsi="Arial" w:cs="Arial"/>
          <w:b/>
        </w:rPr>
        <w:t>amélioration-entretien</w:t>
      </w:r>
      <w:r w:rsidR="00460D0A">
        <w:rPr>
          <w:rFonts w:ascii="Arial" w:hAnsi="Arial" w:cs="Arial"/>
          <w:b/>
        </w:rPr>
        <w:t xml:space="preserve"> </w:t>
      </w:r>
      <w:r w:rsidR="00FF7D82">
        <w:rPr>
          <w:rFonts w:ascii="Arial" w:hAnsi="Arial" w:cs="Arial"/>
          <w:b/>
        </w:rPr>
        <w:t>en</w:t>
      </w:r>
      <w:r w:rsidR="00460D0A">
        <w:rPr>
          <w:rFonts w:ascii="Arial" w:hAnsi="Arial" w:cs="Arial"/>
          <w:b/>
        </w:rPr>
        <w:t xml:space="preserve"> </w:t>
      </w:r>
      <w:r w:rsidR="00982CA3">
        <w:rPr>
          <w:rFonts w:ascii="Arial" w:hAnsi="Arial" w:cs="Arial"/>
          <w:b/>
        </w:rPr>
        <w:t xml:space="preserve">glissement annuel sur le </w:t>
      </w:r>
      <w:r w:rsidR="009D1C6B">
        <w:rPr>
          <w:rFonts w:ascii="Arial" w:hAnsi="Arial" w:cs="Arial"/>
          <w:b/>
        </w:rPr>
        <w:t>deuxième</w:t>
      </w:r>
      <w:r w:rsidR="00982CA3">
        <w:rPr>
          <w:rFonts w:ascii="Arial" w:hAnsi="Arial" w:cs="Arial"/>
          <w:b/>
        </w:rPr>
        <w:t xml:space="preserve"> trimestre 2024</w:t>
      </w:r>
    </w:p>
    <w:p w14:paraId="46F62A1A" w14:textId="2BEA1C3E" w:rsidR="00DD4403" w:rsidRPr="005C3BCA" w:rsidRDefault="009D1C6B" w:rsidP="009A645C">
      <w:pPr>
        <w:pBdr>
          <w:top w:val="single" w:sz="4" w:space="1" w:color="auto"/>
          <w:left w:val="single" w:sz="4" w:space="4" w:color="auto"/>
          <w:bottom w:val="single" w:sz="4" w:space="1" w:color="auto"/>
          <w:right w:val="single" w:sz="4" w:space="4" w:color="auto"/>
        </w:pBdr>
        <w:spacing w:after="60" w:line="240" w:lineRule="auto"/>
        <w:jc w:val="center"/>
        <w:rPr>
          <w:rFonts w:ascii="Arial" w:hAnsi="Arial" w:cs="Arial"/>
        </w:rPr>
      </w:pPr>
      <w:r>
        <w:rPr>
          <w:rFonts w:ascii="Arial" w:hAnsi="Arial" w:cs="Arial"/>
          <w:noProof/>
        </w:rPr>
        <w:drawing>
          <wp:inline distT="0" distB="0" distL="0" distR="0" wp14:anchorId="4F4A396F" wp14:editId="786D179E">
            <wp:extent cx="5760720" cy="2604770"/>
            <wp:effectExtent l="0" t="0" r="0" b="5080"/>
            <wp:docPr id="1477214092" name="Image 17" descr="Une image contenant carte, tex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14092" name="Image 17" descr="Une image contenant carte, texte, diagramme, atlas&#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14:paraId="07AEE1F1" w14:textId="643B5912" w:rsidR="00601DF8" w:rsidRPr="00884C3F" w:rsidRDefault="00DD4403" w:rsidP="009A645C">
      <w:pPr>
        <w:spacing w:after="120" w:line="360" w:lineRule="auto"/>
        <w:jc w:val="center"/>
        <w:rPr>
          <w:rFonts w:ascii="Arial" w:hAnsi="Arial" w:cs="Arial"/>
          <w:u w:val="single"/>
        </w:rPr>
      </w:pPr>
      <w:r w:rsidRPr="00884C3F">
        <w:rPr>
          <w:rFonts w:ascii="Arial" w:hAnsi="Arial" w:cs="Arial"/>
          <w:i/>
          <w:sz w:val="20"/>
          <w:szCs w:val="20"/>
        </w:rPr>
        <w:t xml:space="preserve">Source : </w:t>
      </w:r>
      <w:r w:rsidR="00A82D2E" w:rsidRPr="00884C3F">
        <w:rPr>
          <w:rFonts w:ascii="Arial" w:hAnsi="Arial" w:cs="Arial"/>
          <w:i/>
          <w:sz w:val="20"/>
          <w:szCs w:val="20"/>
        </w:rPr>
        <w:t>FFB/</w:t>
      </w:r>
      <w:r w:rsidR="006D53A3" w:rsidRPr="00884C3F">
        <w:rPr>
          <w:rFonts w:ascii="Arial" w:hAnsi="Arial" w:cs="Arial"/>
          <w:i/>
          <w:sz w:val="20"/>
          <w:szCs w:val="20"/>
        </w:rPr>
        <w:t>R</w:t>
      </w:r>
      <w:r w:rsidR="00A82D2E" w:rsidRPr="00884C3F">
        <w:rPr>
          <w:rFonts w:ascii="Arial" w:hAnsi="Arial" w:cs="Arial"/>
          <w:i/>
          <w:sz w:val="20"/>
          <w:szCs w:val="20"/>
        </w:rPr>
        <w:t>éseau des C</w:t>
      </w:r>
      <w:r w:rsidR="00696132">
        <w:rPr>
          <w:rFonts w:ascii="Arial" w:hAnsi="Arial" w:cs="Arial"/>
          <w:i/>
          <w:sz w:val="20"/>
          <w:szCs w:val="20"/>
        </w:rPr>
        <w:t>erc</w:t>
      </w:r>
    </w:p>
    <w:p w14:paraId="7FC06795" w14:textId="16C759B5" w:rsidR="00F90185" w:rsidRPr="00ED3322" w:rsidRDefault="001C40B3" w:rsidP="001C40B3">
      <w:pPr>
        <w:spacing w:after="120" w:line="360" w:lineRule="auto"/>
        <w:jc w:val="both"/>
        <w:rPr>
          <w:rFonts w:ascii="Arial" w:hAnsi="Arial" w:cs="Arial"/>
        </w:rPr>
      </w:pPr>
      <w:bookmarkStart w:id="1" w:name="_Hlk173237123"/>
      <w:r>
        <w:rPr>
          <w:rFonts w:ascii="Arial" w:hAnsi="Arial" w:cs="Arial"/>
        </w:rPr>
        <w:lastRenderedPageBreak/>
        <w:t xml:space="preserve">Quant à l’avenir, </w:t>
      </w:r>
      <w:r w:rsidRPr="0018557E">
        <w:rPr>
          <w:rFonts w:ascii="Arial" w:hAnsi="Arial" w:cs="Arial"/>
        </w:rPr>
        <w:t xml:space="preserve">selon l’Insee, les perspectives d’activité </w:t>
      </w:r>
      <w:r>
        <w:rPr>
          <w:rFonts w:ascii="Arial" w:hAnsi="Arial" w:cs="Arial"/>
        </w:rPr>
        <w:t>d</w:t>
      </w:r>
      <w:r w:rsidRPr="0018557E">
        <w:rPr>
          <w:rFonts w:ascii="Arial" w:hAnsi="Arial" w:cs="Arial"/>
        </w:rPr>
        <w:t>es entreprises de plus de dix salariés relatives</w:t>
      </w:r>
      <w:r>
        <w:rPr>
          <w:rFonts w:ascii="Arial" w:hAnsi="Arial" w:cs="Arial"/>
        </w:rPr>
        <w:t xml:space="preserve"> </w:t>
      </w:r>
      <w:r w:rsidRPr="0018557E">
        <w:rPr>
          <w:rFonts w:ascii="Arial" w:hAnsi="Arial" w:cs="Arial"/>
        </w:rPr>
        <w:t xml:space="preserve">à l’amélioration-entretien </w:t>
      </w:r>
      <w:r>
        <w:rPr>
          <w:rFonts w:ascii="Arial" w:hAnsi="Arial" w:cs="Arial"/>
        </w:rPr>
        <w:t>a</w:t>
      </w:r>
      <w:r w:rsidRPr="00964869">
        <w:rPr>
          <w:rFonts w:ascii="Arial" w:hAnsi="Arial" w:cs="Arial"/>
        </w:rPr>
        <w:t>u troisième trimestre 2024</w:t>
      </w:r>
      <w:r>
        <w:rPr>
          <w:rFonts w:ascii="Arial" w:hAnsi="Arial" w:cs="Arial"/>
        </w:rPr>
        <w:t xml:space="preserve"> </w:t>
      </w:r>
      <w:r w:rsidRPr="0018557E">
        <w:rPr>
          <w:rFonts w:ascii="Arial" w:hAnsi="Arial" w:cs="Arial"/>
        </w:rPr>
        <w:t>se stabilis</w:t>
      </w:r>
      <w:r>
        <w:rPr>
          <w:rFonts w:ascii="Arial" w:hAnsi="Arial" w:cs="Arial"/>
        </w:rPr>
        <w:t>ent</w:t>
      </w:r>
      <w:r w:rsidRPr="0018557E">
        <w:rPr>
          <w:rFonts w:ascii="Arial" w:hAnsi="Arial" w:cs="Arial"/>
        </w:rPr>
        <w:t xml:space="preserve"> </w:t>
      </w:r>
      <w:r w:rsidR="00552D8A">
        <w:rPr>
          <w:rFonts w:ascii="Arial" w:hAnsi="Arial" w:cs="Arial"/>
        </w:rPr>
        <w:t>globalement au niveau de</w:t>
      </w:r>
      <w:r w:rsidRPr="0018557E">
        <w:rPr>
          <w:rFonts w:ascii="Arial" w:hAnsi="Arial" w:cs="Arial"/>
        </w:rPr>
        <w:t xml:space="preserve"> leur moyenne de long terme (cf. graphique </w:t>
      </w:r>
      <w:r>
        <w:rPr>
          <w:rFonts w:ascii="Arial" w:hAnsi="Arial" w:cs="Arial"/>
        </w:rPr>
        <w:t>14</w:t>
      </w:r>
      <w:r w:rsidRPr="0018557E">
        <w:rPr>
          <w:rFonts w:ascii="Arial" w:hAnsi="Arial" w:cs="Arial"/>
        </w:rPr>
        <w:t>).</w:t>
      </w:r>
      <w:bookmarkEnd w:id="1"/>
    </w:p>
    <w:p w14:paraId="1352B4B2" w14:textId="3282F833" w:rsidR="00F90185" w:rsidRPr="00884C3F" w:rsidRDefault="00F90185" w:rsidP="00F90185">
      <w:pPr>
        <w:spacing w:after="0" w:line="360" w:lineRule="auto"/>
        <w:jc w:val="center"/>
        <w:rPr>
          <w:rFonts w:ascii="Arial" w:hAnsi="Arial" w:cs="Arial"/>
          <w:b/>
        </w:rPr>
      </w:pPr>
      <w:r w:rsidRPr="00884C3F">
        <w:rPr>
          <w:rFonts w:ascii="Arial" w:hAnsi="Arial" w:cs="Arial"/>
        </w:rPr>
        <w:t>Graphique 1</w:t>
      </w:r>
      <w:r w:rsidR="0024550D">
        <w:rPr>
          <w:rFonts w:ascii="Arial" w:hAnsi="Arial" w:cs="Arial"/>
        </w:rPr>
        <w:t>4</w:t>
      </w:r>
      <w:r w:rsidRPr="00884C3F">
        <w:rPr>
          <w:rFonts w:ascii="Arial" w:hAnsi="Arial" w:cs="Arial"/>
        </w:rPr>
        <w:t xml:space="preserve"> –</w:t>
      </w:r>
      <w:r w:rsidRPr="00884C3F">
        <w:rPr>
          <w:rFonts w:ascii="Arial" w:hAnsi="Arial" w:cs="Arial"/>
          <w:b/>
        </w:rPr>
        <w:t xml:space="preserve"> Opinions des chefs d’entreprise </w:t>
      </w:r>
      <w:r>
        <w:rPr>
          <w:rFonts w:ascii="Arial" w:hAnsi="Arial" w:cs="Arial"/>
          <w:b/>
        </w:rPr>
        <w:t xml:space="preserve">de plus de dix salariés </w:t>
      </w:r>
      <w:r w:rsidRPr="00884C3F">
        <w:rPr>
          <w:rFonts w:ascii="Arial" w:hAnsi="Arial" w:cs="Arial"/>
          <w:b/>
        </w:rPr>
        <w:t>sur l’activité prévue en amélioration-entretien</w:t>
      </w:r>
    </w:p>
    <w:p w14:paraId="66EAC3FD" w14:textId="3C724FE2" w:rsidR="00F90185" w:rsidRPr="00884C3F" w:rsidRDefault="00304362" w:rsidP="00F90185">
      <w:pPr>
        <w:spacing w:after="60" w:line="240" w:lineRule="auto"/>
        <w:jc w:val="center"/>
        <w:rPr>
          <w:rFonts w:ascii="Arial" w:hAnsi="Arial" w:cs="Arial"/>
          <w:noProof/>
          <w:lang w:eastAsia="fr-FR"/>
        </w:rPr>
      </w:pPr>
      <w:r w:rsidRPr="00304362">
        <w:rPr>
          <w:rFonts w:ascii="Arial" w:hAnsi="Arial" w:cs="Arial"/>
          <w:noProof/>
          <w:lang w:eastAsia="fr-FR"/>
        </w:rPr>
        <w:drawing>
          <wp:inline distT="0" distB="0" distL="0" distR="0" wp14:anchorId="5C56C17C" wp14:editId="04F1B11D">
            <wp:extent cx="5760720" cy="3054985"/>
            <wp:effectExtent l="0" t="0" r="0" b="0"/>
            <wp:docPr id="17685298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576DAB02" w14:textId="77777777" w:rsidR="00F90185" w:rsidRPr="00884C3F" w:rsidRDefault="00F90185" w:rsidP="00F90185">
      <w:pPr>
        <w:spacing w:after="120" w:line="360" w:lineRule="auto"/>
        <w:jc w:val="center"/>
        <w:rPr>
          <w:rFonts w:ascii="Arial" w:hAnsi="Arial" w:cs="Arial"/>
          <w:i/>
          <w:sz w:val="20"/>
          <w:szCs w:val="20"/>
        </w:rPr>
      </w:pPr>
      <w:r w:rsidRPr="00884C3F">
        <w:rPr>
          <w:rFonts w:ascii="Arial" w:hAnsi="Arial" w:cs="Arial"/>
          <w:i/>
          <w:sz w:val="20"/>
          <w:szCs w:val="20"/>
        </w:rPr>
        <w:t xml:space="preserve">Source : </w:t>
      </w:r>
      <w:r>
        <w:rPr>
          <w:rFonts w:ascii="Arial" w:hAnsi="Arial" w:cs="Arial"/>
          <w:i/>
          <w:sz w:val="20"/>
          <w:szCs w:val="20"/>
        </w:rPr>
        <w:t>calculs FFB d’après Insee</w:t>
      </w:r>
    </w:p>
    <w:p w14:paraId="094B8A55" w14:textId="74A9123E" w:rsidR="003F4D47" w:rsidRPr="005D413A" w:rsidRDefault="003F4D47" w:rsidP="00D7622D">
      <w:pPr>
        <w:spacing w:before="360" w:after="120" w:line="360" w:lineRule="auto"/>
        <w:rPr>
          <w:rFonts w:ascii="Arial" w:hAnsi="Arial" w:cs="Arial"/>
          <w:u w:val="single"/>
        </w:rPr>
      </w:pPr>
      <w:r w:rsidRPr="005D413A">
        <w:rPr>
          <w:rFonts w:ascii="Arial" w:hAnsi="Arial" w:cs="Arial"/>
          <w:u w:val="single"/>
        </w:rPr>
        <w:t>2.4 Le bâtiment</w:t>
      </w:r>
    </w:p>
    <w:p w14:paraId="32456D75" w14:textId="23720F83" w:rsidR="007C61B0" w:rsidRPr="00552D8A" w:rsidRDefault="007C61B0" w:rsidP="007C61B0">
      <w:pPr>
        <w:spacing w:after="120" w:line="360" w:lineRule="auto"/>
        <w:jc w:val="both"/>
        <w:rPr>
          <w:rFonts w:ascii="Arial" w:hAnsi="Arial" w:cs="Arial"/>
          <w:i/>
          <w:sz w:val="20"/>
          <w:szCs w:val="20"/>
        </w:rPr>
      </w:pPr>
      <w:r w:rsidRPr="00552D8A">
        <w:rPr>
          <w:rFonts w:ascii="Arial" w:hAnsi="Arial" w:cs="Arial"/>
        </w:rPr>
        <w:t xml:space="preserve">En </w:t>
      </w:r>
      <w:r w:rsidR="00B073DB" w:rsidRPr="00552D8A">
        <w:rPr>
          <w:rFonts w:ascii="Arial" w:hAnsi="Arial" w:cs="Arial"/>
        </w:rPr>
        <w:t xml:space="preserve">glissement annuel sur le premier </w:t>
      </w:r>
      <w:r w:rsidR="00552D8A" w:rsidRPr="00552D8A">
        <w:rPr>
          <w:rFonts w:ascii="Arial" w:hAnsi="Arial" w:cs="Arial"/>
        </w:rPr>
        <w:t>semestre</w:t>
      </w:r>
      <w:r w:rsidR="00B073DB" w:rsidRPr="00552D8A">
        <w:rPr>
          <w:rFonts w:ascii="Arial" w:hAnsi="Arial" w:cs="Arial"/>
        </w:rPr>
        <w:t xml:space="preserve"> 2024</w:t>
      </w:r>
      <w:r w:rsidRPr="00552D8A">
        <w:rPr>
          <w:rFonts w:ascii="Arial" w:hAnsi="Arial" w:cs="Arial"/>
        </w:rPr>
        <w:t xml:space="preserve">, l’activité bâtiment </w:t>
      </w:r>
      <w:r w:rsidR="00FB723A" w:rsidRPr="00552D8A">
        <w:rPr>
          <w:rFonts w:ascii="Arial" w:hAnsi="Arial" w:cs="Arial"/>
        </w:rPr>
        <w:t>se replie</w:t>
      </w:r>
      <w:r w:rsidR="00B073DB" w:rsidRPr="00552D8A">
        <w:rPr>
          <w:rFonts w:ascii="Arial" w:hAnsi="Arial" w:cs="Arial"/>
        </w:rPr>
        <w:t xml:space="preserve"> de 4,</w:t>
      </w:r>
      <w:r w:rsidR="00552D8A" w:rsidRPr="00552D8A">
        <w:rPr>
          <w:rFonts w:ascii="Arial" w:hAnsi="Arial" w:cs="Arial"/>
        </w:rPr>
        <w:t>3</w:t>
      </w:r>
      <w:r w:rsidR="00E26839" w:rsidRPr="00552D8A">
        <w:rPr>
          <w:rFonts w:ascii="Arial" w:hAnsi="Arial" w:cs="Arial"/>
        </w:rPr>
        <w:t> %</w:t>
      </w:r>
      <w:r w:rsidRPr="00552D8A">
        <w:rPr>
          <w:rFonts w:ascii="Arial" w:hAnsi="Arial" w:cs="Arial"/>
        </w:rPr>
        <w:t xml:space="preserve"> en volume. En détail, le</w:t>
      </w:r>
      <w:r w:rsidR="007F5327" w:rsidRPr="00552D8A">
        <w:rPr>
          <w:rFonts w:ascii="Arial" w:hAnsi="Arial" w:cs="Arial"/>
        </w:rPr>
        <w:t xml:space="preserve"> </w:t>
      </w:r>
      <w:r w:rsidRPr="00552D8A">
        <w:rPr>
          <w:rFonts w:ascii="Arial" w:hAnsi="Arial" w:cs="Arial"/>
        </w:rPr>
        <w:t xml:space="preserve">neuf </w:t>
      </w:r>
      <w:r w:rsidR="00FB723A" w:rsidRPr="00552D8A">
        <w:rPr>
          <w:rFonts w:ascii="Arial" w:hAnsi="Arial" w:cs="Arial"/>
        </w:rPr>
        <w:t>chute</w:t>
      </w:r>
      <w:r w:rsidRPr="00552D8A">
        <w:rPr>
          <w:rFonts w:ascii="Arial" w:hAnsi="Arial" w:cs="Arial"/>
        </w:rPr>
        <w:t xml:space="preserve"> de </w:t>
      </w:r>
      <w:r w:rsidR="00FB723A" w:rsidRPr="00552D8A">
        <w:rPr>
          <w:rFonts w:ascii="Arial" w:hAnsi="Arial" w:cs="Arial"/>
        </w:rPr>
        <w:t>1</w:t>
      </w:r>
      <w:r w:rsidR="00552D8A" w:rsidRPr="00552D8A">
        <w:rPr>
          <w:rFonts w:ascii="Arial" w:hAnsi="Arial" w:cs="Arial"/>
        </w:rPr>
        <w:t>1</w:t>
      </w:r>
      <w:r w:rsidRPr="00552D8A">
        <w:rPr>
          <w:rFonts w:ascii="Arial" w:hAnsi="Arial" w:cs="Arial"/>
        </w:rPr>
        <w:t>,</w:t>
      </w:r>
      <w:r w:rsidR="00552D8A" w:rsidRPr="00552D8A">
        <w:rPr>
          <w:rFonts w:ascii="Arial" w:hAnsi="Arial" w:cs="Arial"/>
        </w:rPr>
        <w:t>3</w:t>
      </w:r>
      <w:r w:rsidR="00E26839" w:rsidRPr="00552D8A">
        <w:rPr>
          <w:rFonts w:ascii="Arial" w:hAnsi="Arial" w:cs="Arial"/>
        </w:rPr>
        <w:t> %</w:t>
      </w:r>
      <w:r w:rsidRPr="00552D8A">
        <w:rPr>
          <w:rFonts w:ascii="Arial" w:hAnsi="Arial" w:cs="Arial"/>
        </w:rPr>
        <w:t>, tiré vers le bas par le logement (</w:t>
      </w:r>
      <w:r w:rsidR="009C3B23" w:rsidRPr="00552D8A">
        <w:rPr>
          <w:rFonts w:ascii="Arial" w:hAnsi="Arial" w:cs="Arial"/>
        </w:rPr>
        <w:noBreakHyphen/>
      </w:r>
      <w:r w:rsidR="00552D8A" w:rsidRPr="00552D8A">
        <w:rPr>
          <w:rFonts w:ascii="Arial" w:hAnsi="Arial" w:cs="Arial"/>
        </w:rPr>
        <w:t>17</w:t>
      </w:r>
      <w:r w:rsidR="00FC43B2" w:rsidRPr="00552D8A">
        <w:rPr>
          <w:rFonts w:ascii="Arial" w:hAnsi="Arial" w:cs="Arial"/>
        </w:rPr>
        <w:t>,</w:t>
      </w:r>
      <w:r w:rsidR="00552D8A" w:rsidRPr="00552D8A">
        <w:rPr>
          <w:rFonts w:ascii="Arial" w:hAnsi="Arial" w:cs="Arial"/>
        </w:rPr>
        <w:t>5</w:t>
      </w:r>
      <w:r w:rsidR="00FC43B2" w:rsidRPr="00552D8A">
        <w:rPr>
          <w:rFonts w:ascii="Arial" w:hAnsi="Arial" w:cs="Arial"/>
        </w:rPr>
        <w:t> </w:t>
      </w:r>
      <w:r w:rsidR="00E26839" w:rsidRPr="00552D8A">
        <w:rPr>
          <w:rFonts w:ascii="Arial" w:hAnsi="Arial" w:cs="Arial"/>
        </w:rPr>
        <w:t>%</w:t>
      </w:r>
      <w:r w:rsidRPr="00552D8A">
        <w:rPr>
          <w:rFonts w:ascii="Arial" w:hAnsi="Arial" w:cs="Arial"/>
        </w:rPr>
        <w:t>)</w:t>
      </w:r>
      <w:r w:rsidR="00CC7623" w:rsidRPr="00552D8A">
        <w:rPr>
          <w:rFonts w:ascii="Arial" w:hAnsi="Arial" w:cs="Arial"/>
        </w:rPr>
        <w:t>,</w:t>
      </w:r>
      <w:r w:rsidRPr="00552D8A">
        <w:rPr>
          <w:rFonts w:ascii="Arial" w:hAnsi="Arial" w:cs="Arial"/>
        </w:rPr>
        <w:t xml:space="preserve"> alors que le non résidentiel </w:t>
      </w:r>
      <w:r w:rsidR="00F67A2E" w:rsidRPr="00552D8A">
        <w:rPr>
          <w:rFonts w:ascii="Arial" w:hAnsi="Arial" w:cs="Arial"/>
        </w:rPr>
        <w:t>limite la casse</w:t>
      </w:r>
      <w:r w:rsidRPr="00552D8A">
        <w:rPr>
          <w:rFonts w:ascii="Arial" w:hAnsi="Arial" w:cs="Arial"/>
        </w:rPr>
        <w:t xml:space="preserve"> (</w:t>
      </w:r>
      <w:r w:rsidR="00873CD7" w:rsidRPr="00552D8A">
        <w:rPr>
          <w:rFonts w:ascii="Arial" w:hAnsi="Arial" w:cs="Arial"/>
        </w:rPr>
        <w:t>-</w:t>
      </w:r>
      <w:r w:rsidR="00552D8A" w:rsidRPr="00552D8A">
        <w:rPr>
          <w:rFonts w:ascii="Arial" w:hAnsi="Arial" w:cs="Arial"/>
        </w:rPr>
        <w:t>1</w:t>
      </w:r>
      <w:r w:rsidR="00062E5A" w:rsidRPr="00552D8A">
        <w:rPr>
          <w:rFonts w:ascii="Arial" w:hAnsi="Arial" w:cs="Arial"/>
        </w:rPr>
        <w:t>,8 </w:t>
      </w:r>
      <w:r w:rsidR="00E26839" w:rsidRPr="00552D8A">
        <w:rPr>
          <w:rFonts w:ascii="Arial" w:hAnsi="Arial" w:cs="Arial"/>
        </w:rPr>
        <w:t>%</w:t>
      </w:r>
      <w:r w:rsidRPr="00552D8A">
        <w:rPr>
          <w:rFonts w:ascii="Arial" w:hAnsi="Arial" w:cs="Arial"/>
        </w:rPr>
        <w:t xml:space="preserve">). Quant à l’amélioration-entretien, l’activité s’y </w:t>
      </w:r>
      <w:r w:rsidR="00F67A2E" w:rsidRPr="00552D8A">
        <w:rPr>
          <w:rFonts w:ascii="Arial" w:hAnsi="Arial" w:cs="Arial"/>
        </w:rPr>
        <w:t>lit</w:t>
      </w:r>
      <w:r w:rsidRPr="00552D8A">
        <w:rPr>
          <w:rFonts w:ascii="Arial" w:hAnsi="Arial" w:cs="Arial"/>
        </w:rPr>
        <w:t xml:space="preserve"> à +</w:t>
      </w:r>
      <w:r w:rsidR="00B073DB" w:rsidRPr="00552D8A">
        <w:rPr>
          <w:rFonts w:ascii="Arial" w:hAnsi="Arial" w:cs="Arial"/>
        </w:rPr>
        <w:t>1,</w:t>
      </w:r>
      <w:r w:rsidR="00552D8A" w:rsidRPr="00552D8A">
        <w:rPr>
          <w:rFonts w:ascii="Arial" w:hAnsi="Arial" w:cs="Arial"/>
        </w:rPr>
        <w:t>4</w:t>
      </w:r>
      <w:r w:rsidR="00E26839" w:rsidRPr="00552D8A">
        <w:rPr>
          <w:rFonts w:ascii="Arial" w:hAnsi="Arial" w:cs="Arial"/>
        </w:rPr>
        <w:t> %</w:t>
      </w:r>
      <w:r w:rsidRPr="00552D8A">
        <w:rPr>
          <w:rFonts w:ascii="Arial" w:hAnsi="Arial" w:cs="Arial"/>
        </w:rPr>
        <w:t>.</w:t>
      </w:r>
    </w:p>
    <w:p w14:paraId="1489244D" w14:textId="504821EF" w:rsidR="007C2C72" w:rsidRPr="00552D8A" w:rsidRDefault="00A2122D" w:rsidP="007C2C72">
      <w:pPr>
        <w:spacing w:after="120" w:line="360" w:lineRule="auto"/>
        <w:jc w:val="both"/>
        <w:rPr>
          <w:rFonts w:ascii="Arial" w:hAnsi="Arial" w:cs="Arial"/>
        </w:rPr>
      </w:pPr>
      <w:r w:rsidRPr="00552D8A">
        <w:rPr>
          <w:rFonts w:ascii="Arial" w:hAnsi="Arial" w:cs="Arial"/>
        </w:rPr>
        <w:t>Bien que les carnets de commandes des entreprises de plus de dix salariés affichent encore un bon niveau à 8,</w:t>
      </w:r>
      <w:r w:rsidR="00552D8A" w:rsidRPr="00552D8A">
        <w:rPr>
          <w:rFonts w:ascii="Arial" w:hAnsi="Arial" w:cs="Arial"/>
        </w:rPr>
        <w:t>0</w:t>
      </w:r>
      <w:r w:rsidRPr="00552D8A">
        <w:rPr>
          <w:rFonts w:ascii="Arial" w:hAnsi="Arial" w:cs="Arial"/>
        </w:rPr>
        <w:t xml:space="preserve"> mois à fin </w:t>
      </w:r>
      <w:r w:rsidR="00552D8A" w:rsidRPr="00552D8A">
        <w:rPr>
          <w:rFonts w:ascii="Arial" w:hAnsi="Arial" w:cs="Arial"/>
        </w:rPr>
        <w:t>août</w:t>
      </w:r>
      <w:r w:rsidRPr="00552D8A">
        <w:rPr>
          <w:rFonts w:ascii="Arial" w:hAnsi="Arial" w:cs="Arial"/>
        </w:rPr>
        <w:t xml:space="preserve"> 2024 (cf. graphique </w:t>
      </w:r>
      <w:r w:rsidR="00696F88">
        <w:rPr>
          <w:rFonts w:ascii="Arial" w:hAnsi="Arial" w:cs="Arial"/>
        </w:rPr>
        <w:t>15</w:t>
      </w:r>
      <w:r w:rsidRPr="00552D8A">
        <w:rPr>
          <w:rFonts w:ascii="Arial" w:hAnsi="Arial" w:cs="Arial"/>
        </w:rPr>
        <w:t>), soit 1,</w:t>
      </w:r>
      <w:r w:rsidR="00552D8A" w:rsidRPr="00552D8A">
        <w:rPr>
          <w:rFonts w:ascii="Arial" w:hAnsi="Arial" w:cs="Arial"/>
        </w:rPr>
        <w:t>6</w:t>
      </w:r>
      <w:r w:rsidRPr="00552D8A">
        <w:rPr>
          <w:rFonts w:ascii="Arial" w:hAnsi="Arial" w:cs="Arial"/>
        </w:rPr>
        <w:t xml:space="preserve"> mois de plus que leur moyenne de long terme, il faut souligner qu’ils s’effritent depuis l’automne 2022</w:t>
      </w:r>
      <w:r w:rsidR="00ED3322" w:rsidRPr="00552D8A">
        <w:rPr>
          <w:rFonts w:ascii="Arial" w:hAnsi="Arial" w:cs="Arial"/>
        </w:rPr>
        <w:t>.</w:t>
      </w:r>
      <w:r w:rsidR="00117252">
        <w:rPr>
          <w:rFonts w:ascii="Arial" w:hAnsi="Arial" w:cs="Arial"/>
        </w:rPr>
        <w:t xml:space="preserve"> Par ailleurs, il convient de noter que ceux des artisans ne se lisent plus qu’à 4,6 mois à fin juin 2024, soit 0,7 mois au-dessous de leur moyenne de long terme.</w:t>
      </w:r>
    </w:p>
    <w:p w14:paraId="01B2E3E4" w14:textId="77777777" w:rsidR="008D7D6E" w:rsidRDefault="008D7D6E">
      <w:pPr>
        <w:rPr>
          <w:rFonts w:ascii="Arial" w:hAnsi="Arial" w:cs="Arial"/>
        </w:rPr>
      </w:pPr>
      <w:r>
        <w:rPr>
          <w:rFonts w:ascii="Arial" w:hAnsi="Arial" w:cs="Arial"/>
        </w:rPr>
        <w:br w:type="page"/>
      </w:r>
    </w:p>
    <w:p w14:paraId="2B87EC9C" w14:textId="345A27BA" w:rsidR="003C23CE" w:rsidRPr="00F720AB" w:rsidRDefault="00D5091C" w:rsidP="00CC1627">
      <w:pPr>
        <w:spacing w:after="0" w:line="360" w:lineRule="auto"/>
        <w:jc w:val="center"/>
        <w:rPr>
          <w:rFonts w:ascii="Arial" w:hAnsi="Arial" w:cs="Arial"/>
          <w:b/>
          <w:bCs/>
        </w:rPr>
      </w:pPr>
      <w:r>
        <w:rPr>
          <w:rFonts w:ascii="Arial" w:hAnsi="Arial" w:cs="Arial"/>
        </w:rPr>
        <w:lastRenderedPageBreak/>
        <w:t>Graphique 1</w:t>
      </w:r>
      <w:r w:rsidR="0024550D">
        <w:rPr>
          <w:rFonts w:ascii="Arial" w:hAnsi="Arial" w:cs="Arial"/>
        </w:rPr>
        <w:t>5</w:t>
      </w:r>
      <w:r w:rsidRPr="4FF09C5F">
        <w:rPr>
          <w:rFonts w:ascii="Arial" w:hAnsi="Arial" w:cs="Arial"/>
        </w:rPr>
        <w:t xml:space="preserve"> –</w:t>
      </w:r>
      <w:r w:rsidR="003C23CE">
        <w:rPr>
          <w:rFonts w:ascii="Arial" w:hAnsi="Arial" w:cs="Arial"/>
        </w:rPr>
        <w:t xml:space="preserve"> </w:t>
      </w:r>
      <w:r w:rsidR="003C23CE" w:rsidRPr="009E2004">
        <w:rPr>
          <w:rFonts w:ascii="Arial" w:hAnsi="Arial" w:cs="Arial"/>
          <w:b/>
        </w:rPr>
        <w:t>Carnets de commandes des entreprises de bâtiment</w:t>
      </w:r>
    </w:p>
    <w:p w14:paraId="70644D95" w14:textId="277F46E0" w:rsidR="00D5091C" w:rsidRDefault="00117252" w:rsidP="00ED7A6B">
      <w:pPr>
        <w:spacing w:after="60" w:line="240" w:lineRule="auto"/>
        <w:jc w:val="center"/>
        <w:rPr>
          <w:rFonts w:ascii="Arial" w:hAnsi="Arial" w:cs="Arial"/>
        </w:rPr>
      </w:pPr>
      <w:r w:rsidRPr="00117252">
        <w:rPr>
          <w:rFonts w:ascii="Arial" w:hAnsi="Arial" w:cs="Arial"/>
          <w:noProof/>
        </w:rPr>
        <w:drawing>
          <wp:inline distT="0" distB="0" distL="0" distR="0" wp14:anchorId="51A11FBA" wp14:editId="07BF8B69">
            <wp:extent cx="5760720" cy="3055620"/>
            <wp:effectExtent l="0" t="0" r="0" b="0"/>
            <wp:docPr id="7939916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055620"/>
                    </a:xfrm>
                    <a:prstGeom prst="rect">
                      <a:avLst/>
                    </a:prstGeom>
                    <a:noFill/>
                    <a:ln>
                      <a:noFill/>
                    </a:ln>
                  </pic:spPr>
                </pic:pic>
              </a:graphicData>
            </a:graphic>
          </wp:inline>
        </w:drawing>
      </w:r>
    </w:p>
    <w:p w14:paraId="5DD542B7" w14:textId="21E20CF3" w:rsidR="00D564C3" w:rsidRDefault="00D5091C" w:rsidP="00152416">
      <w:pPr>
        <w:spacing w:after="0" w:line="360" w:lineRule="auto"/>
        <w:jc w:val="center"/>
        <w:rPr>
          <w:rFonts w:ascii="Arial" w:hAnsi="Arial" w:cs="Arial"/>
          <w:i/>
          <w:iCs/>
          <w:sz w:val="20"/>
          <w:szCs w:val="20"/>
        </w:rPr>
      </w:pPr>
      <w:r w:rsidRPr="4FF09C5F">
        <w:rPr>
          <w:rFonts w:ascii="Arial" w:hAnsi="Arial" w:cs="Arial"/>
          <w:i/>
          <w:iCs/>
          <w:sz w:val="20"/>
          <w:szCs w:val="20"/>
        </w:rPr>
        <w:t>Source : Insee</w:t>
      </w:r>
      <w:r w:rsidR="003C23CE">
        <w:rPr>
          <w:rFonts w:ascii="Arial" w:hAnsi="Arial" w:cs="Arial"/>
          <w:i/>
          <w:iCs/>
          <w:sz w:val="20"/>
          <w:szCs w:val="20"/>
        </w:rPr>
        <w:t> ; FFB</w:t>
      </w:r>
    </w:p>
    <w:p w14:paraId="678D6CB7" w14:textId="5AF768C3" w:rsidR="00A834A2" w:rsidRPr="00AE6454" w:rsidRDefault="00A834A2" w:rsidP="00720932">
      <w:pPr>
        <w:spacing w:before="480" w:after="120" w:line="360" w:lineRule="auto"/>
        <w:rPr>
          <w:rFonts w:ascii="Arial" w:hAnsi="Arial" w:cs="Arial"/>
          <w:b/>
          <w:sz w:val="28"/>
          <w:szCs w:val="28"/>
          <w:u w:val="single"/>
        </w:rPr>
      </w:pPr>
      <w:r>
        <w:rPr>
          <w:rFonts w:ascii="Arial" w:hAnsi="Arial" w:cs="Arial"/>
          <w:b/>
          <w:sz w:val="28"/>
          <w:szCs w:val="28"/>
          <w:u w:val="single"/>
        </w:rPr>
        <w:t>3</w:t>
      </w:r>
      <w:r w:rsidRPr="00AE6454">
        <w:rPr>
          <w:rFonts w:ascii="Arial" w:hAnsi="Arial" w:cs="Arial"/>
          <w:b/>
          <w:sz w:val="28"/>
          <w:szCs w:val="28"/>
          <w:u w:val="single"/>
        </w:rPr>
        <w:t xml:space="preserve">. </w:t>
      </w:r>
      <w:r>
        <w:rPr>
          <w:rFonts w:ascii="Arial" w:hAnsi="Arial" w:cs="Arial"/>
          <w:b/>
          <w:sz w:val="28"/>
          <w:szCs w:val="28"/>
          <w:u w:val="single"/>
        </w:rPr>
        <w:t>L’appareil de production</w:t>
      </w:r>
    </w:p>
    <w:p w14:paraId="41DDE7AE" w14:textId="77777777" w:rsidR="00A834A2" w:rsidRPr="00305324" w:rsidRDefault="00A834A2" w:rsidP="00ED7A6B">
      <w:pPr>
        <w:spacing w:before="240" w:after="120" w:line="360" w:lineRule="auto"/>
        <w:jc w:val="both"/>
        <w:rPr>
          <w:rFonts w:ascii="Arial" w:hAnsi="Arial" w:cs="Arial"/>
          <w:u w:val="single"/>
        </w:rPr>
      </w:pPr>
      <w:r w:rsidRPr="00305324">
        <w:rPr>
          <w:rFonts w:ascii="Arial" w:hAnsi="Arial" w:cs="Arial"/>
          <w:u w:val="single"/>
        </w:rPr>
        <w:t>3.1 L’emploi</w:t>
      </w:r>
    </w:p>
    <w:p w14:paraId="51C0F6B4" w14:textId="4084EDA2" w:rsidR="000C6DED" w:rsidRPr="00717FB5" w:rsidRDefault="007033BC" w:rsidP="007033BC">
      <w:pPr>
        <w:spacing w:after="120" w:line="360" w:lineRule="auto"/>
        <w:jc w:val="both"/>
        <w:rPr>
          <w:rFonts w:ascii="Arial" w:hAnsi="Arial" w:cs="Arial"/>
        </w:rPr>
      </w:pPr>
      <w:r>
        <w:rPr>
          <w:rFonts w:ascii="Arial" w:hAnsi="Arial" w:cs="Arial"/>
        </w:rPr>
        <w:t xml:space="preserve">Selon </w:t>
      </w:r>
      <w:r w:rsidR="001C2EAB">
        <w:rPr>
          <w:rFonts w:ascii="Arial" w:hAnsi="Arial" w:cs="Arial"/>
        </w:rPr>
        <w:t>les données officielles</w:t>
      </w:r>
      <w:r>
        <w:rPr>
          <w:rFonts w:ascii="Arial" w:hAnsi="Arial" w:cs="Arial"/>
        </w:rPr>
        <w:t>, on observe</w:t>
      </w:r>
      <w:r w:rsidRPr="007033BC">
        <w:rPr>
          <w:rFonts w:ascii="Arial" w:hAnsi="Arial" w:cs="Arial"/>
        </w:rPr>
        <w:t xml:space="preserve"> une baisse de l’emploi salarié dans le bâtiment sans véritable changement de rythme, à -0,6</w:t>
      </w:r>
      <w:r w:rsidR="004C2A70">
        <w:rPr>
          <w:rFonts w:ascii="Arial" w:hAnsi="Arial" w:cs="Arial"/>
        </w:rPr>
        <w:t> %</w:t>
      </w:r>
      <w:r w:rsidRPr="007033BC">
        <w:rPr>
          <w:rFonts w:ascii="Arial" w:hAnsi="Arial" w:cs="Arial"/>
        </w:rPr>
        <w:t xml:space="preserve"> au deuxième trimestre 2024, après -0,5</w:t>
      </w:r>
      <w:r w:rsidR="004C2A70">
        <w:rPr>
          <w:rFonts w:ascii="Arial" w:hAnsi="Arial" w:cs="Arial"/>
        </w:rPr>
        <w:t> %</w:t>
      </w:r>
      <w:r w:rsidRPr="007033BC">
        <w:rPr>
          <w:rFonts w:ascii="Arial" w:hAnsi="Arial" w:cs="Arial"/>
        </w:rPr>
        <w:t xml:space="preserve"> au premier (cf. graphique </w:t>
      </w:r>
      <w:r>
        <w:rPr>
          <w:rFonts w:ascii="Arial" w:hAnsi="Arial" w:cs="Arial"/>
        </w:rPr>
        <w:t>16</w:t>
      </w:r>
      <w:r w:rsidRPr="007033BC">
        <w:rPr>
          <w:rFonts w:ascii="Arial" w:hAnsi="Arial" w:cs="Arial"/>
        </w:rPr>
        <w:t>). Le constat diffère peu en glissement annuel sur un trimestre, avec -1,6</w:t>
      </w:r>
      <w:r w:rsidR="004C2A70">
        <w:rPr>
          <w:rFonts w:ascii="Arial" w:hAnsi="Arial" w:cs="Arial"/>
        </w:rPr>
        <w:t> %</w:t>
      </w:r>
      <w:r w:rsidRPr="007033BC">
        <w:rPr>
          <w:rFonts w:ascii="Arial" w:hAnsi="Arial" w:cs="Arial"/>
        </w:rPr>
        <w:t xml:space="preserve"> à la fin du deuxième trimestre 2024 contre -1,4</w:t>
      </w:r>
      <w:r w:rsidR="004C2A70">
        <w:rPr>
          <w:rFonts w:ascii="Arial" w:hAnsi="Arial" w:cs="Arial"/>
        </w:rPr>
        <w:t> %</w:t>
      </w:r>
      <w:r w:rsidRPr="007033BC">
        <w:rPr>
          <w:rFonts w:ascii="Arial" w:hAnsi="Arial" w:cs="Arial"/>
        </w:rPr>
        <w:t>, -1,2</w:t>
      </w:r>
      <w:r w:rsidR="004C2A70">
        <w:rPr>
          <w:rFonts w:ascii="Arial" w:hAnsi="Arial" w:cs="Arial"/>
        </w:rPr>
        <w:t> %</w:t>
      </w:r>
      <w:r w:rsidRPr="007033BC">
        <w:rPr>
          <w:rFonts w:ascii="Arial" w:hAnsi="Arial" w:cs="Arial"/>
        </w:rPr>
        <w:t xml:space="preserve"> et - 1,0</w:t>
      </w:r>
      <w:r w:rsidR="004C2A70">
        <w:rPr>
          <w:rFonts w:ascii="Arial" w:hAnsi="Arial" w:cs="Arial"/>
        </w:rPr>
        <w:t> %</w:t>
      </w:r>
      <w:r w:rsidRPr="007033BC">
        <w:rPr>
          <w:rFonts w:ascii="Arial" w:hAnsi="Arial" w:cs="Arial"/>
        </w:rPr>
        <w:t xml:space="preserve"> sur deux, trois et quatre trimestres. En volume, le bâtiment a perdu 20</w:t>
      </w:r>
      <w:r w:rsidR="004C2A70">
        <w:rPr>
          <w:rFonts w:ascii="Arial" w:hAnsi="Arial" w:cs="Arial"/>
        </w:rPr>
        <w:t> </w:t>
      </w:r>
      <w:r w:rsidRPr="007033BC">
        <w:rPr>
          <w:rFonts w:ascii="Arial" w:hAnsi="Arial" w:cs="Arial"/>
        </w:rPr>
        <w:t>800 postes salariés entre les deuxièmes trimestres 2023 et 2024.</w:t>
      </w:r>
    </w:p>
    <w:p w14:paraId="04E5540C" w14:textId="76F670A4" w:rsidR="007033BC" w:rsidRPr="007033BC" w:rsidRDefault="007033BC" w:rsidP="007033BC">
      <w:pPr>
        <w:spacing w:after="120" w:line="360" w:lineRule="auto"/>
        <w:jc w:val="both"/>
        <w:rPr>
          <w:rFonts w:ascii="Arial" w:hAnsi="Arial" w:cs="Arial"/>
        </w:rPr>
      </w:pPr>
      <w:r w:rsidRPr="007033BC">
        <w:rPr>
          <w:rFonts w:ascii="Arial" w:hAnsi="Arial" w:cs="Arial"/>
        </w:rPr>
        <w:t>Quant à l’intérim, son recul ne s’amplifie que très peu même si le décrochage reste important, à -9,3</w:t>
      </w:r>
      <w:r w:rsidR="004C2A70">
        <w:rPr>
          <w:rFonts w:ascii="Arial" w:hAnsi="Arial" w:cs="Arial"/>
        </w:rPr>
        <w:t> %</w:t>
      </w:r>
      <w:r w:rsidRPr="007033BC">
        <w:rPr>
          <w:rFonts w:ascii="Arial" w:hAnsi="Arial" w:cs="Arial"/>
        </w:rPr>
        <w:t xml:space="preserve"> en glissement annuel sur un trimestre à fin T2 2024. En niveau, la baisse s’établit à 9</w:t>
      </w:r>
      <w:r w:rsidR="004C2A70">
        <w:rPr>
          <w:rFonts w:ascii="Arial" w:hAnsi="Arial" w:cs="Arial"/>
        </w:rPr>
        <w:t> </w:t>
      </w:r>
      <w:r w:rsidRPr="007033BC">
        <w:rPr>
          <w:rFonts w:ascii="Arial" w:hAnsi="Arial" w:cs="Arial"/>
        </w:rPr>
        <w:t>700 postes en équivalent-emplois à temps plein (ETP) entre les deuxièmes trimestres 2023 et 2024.</w:t>
      </w:r>
    </w:p>
    <w:p w14:paraId="62862985" w14:textId="31AFB8D4" w:rsidR="00780200" w:rsidRDefault="007033BC" w:rsidP="007033BC">
      <w:pPr>
        <w:spacing w:after="120" w:line="360" w:lineRule="auto"/>
        <w:jc w:val="both"/>
        <w:rPr>
          <w:rFonts w:ascii="Arial" w:hAnsi="Arial" w:cs="Arial"/>
        </w:rPr>
      </w:pPr>
      <w:r w:rsidRPr="007033BC">
        <w:rPr>
          <w:rFonts w:ascii="Arial" w:hAnsi="Arial" w:cs="Arial"/>
        </w:rPr>
        <w:t>Au global, l’emploi dans le bâtiment recule de 2,2</w:t>
      </w:r>
      <w:r w:rsidR="004C2A70">
        <w:rPr>
          <w:rFonts w:ascii="Arial" w:hAnsi="Arial" w:cs="Arial"/>
        </w:rPr>
        <w:t> %</w:t>
      </w:r>
      <w:r w:rsidRPr="007033BC">
        <w:rPr>
          <w:rFonts w:ascii="Arial" w:hAnsi="Arial" w:cs="Arial"/>
        </w:rPr>
        <w:t>, soit 30</w:t>
      </w:r>
      <w:r w:rsidR="004C2A70">
        <w:rPr>
          <w:rFonts w:ascii="Arial" w:hAnsi="Arial" w:cs="Arial"/>
        </w:rPr>
        <w:t> </w:t>
      </w:r>
      <w:r w:rsidRPr="007033BC">
        <w:rPr>
          <w:rFonts w:ascii="Arial" w:hAnsi="Arial" w:cs="Arial"/>
        </w:rPr>
        <w:t>500 postes en glissement annuel sur le deuxième trimestre 2024. En moyenne sur le premier semestre, toujours sur un an, 27</w:t>
      </w:r>
      <w:r w:rsidR="001C2EAB">
        <w:rPr>
          <w:rFonts w:ascii="Arial" w:hAnsi="Arial" w:cs="Arial"/>
        </w:rPr>
        <w:t> </w:t>
      </w:r>
      <w:r w:rsidRPr="007033BC">
        <w:rPr>
          <w:rFonts w:ascii="Arial" w:hAnsi="Arial" w:cs="Arial"/>
        </w:rPr>
        <w:t>700 postes ont été détruits dans le secteur, dont 17</w:t>
      </w:r>
      <w:r w:rsidR="004C2A70">
        <w:rPr>
          <w:rFonts w:ascii="Arial" w:hAnsi="Arial" w:cs="Arial"/>
        </w:rPr>
        <w:t> </w:t>
      </w:r>
      <w:r w:rsidRPr="007033BC">
        <w:rPr>
          <w:rFonts w:ascii="Arial" w:hAnsi="Arial" w:cs="Arial"/>
        </w:rPr>
        <w:t>800 salariés.</w:t>
      </w:r>
      <w:r w:rsidR="00780200">
        <w:rPr>
          <w:rFonts w:ascii="Arial" w:hAnsi="Arial" w:cs="Arial"/>
        </w:rPr>
        <w:br w:type="page"/>
      </w:r>
    </w:p>
    <w:p w14:paraId="09302154" w14:textId="5A67FDF3" w:rsidR="00431CC7" w:rsidRDefault="00431CC7" w:rsidP="004F5848">
      <w:pPr>
        <w:spacing w:after="0" w:line="360" w:lineRule="auto"/>
        <w:jc w:val="center"/>
        <w:rPr>
          <w:rFonts w:ascii="Arial" w:hAnsi="Arial" w:cs="Arial"/>
        </w:rPr>
      </w:pPr>
      <w:r>
        <w:rPr>
          <w:rFonts w:ascii="Arial" w:hAnsi="Arial" w:cs="Arial"/>
        </w:rPr>
        <w:lastRenderedPageBreak/>
        <w:t>Graphique 1</w:t>
      </w:r>
      <w:r w:rsidR="0024550D">
        <w:rPr>
          <w:rFonts w:ascii="Arial" w:hAnsi="Arial" w:cs="Arial"/>
        </w:rPr>
        <w:t>6</w:t>
      </w:r>
      <w:r>
        <w:rPr>
          <w:rFonts w:ascii="Arial" w:hAnsi="Arial" w:cs="Arial"/>
        </w:rPr>
        <w:t xml:space="preserve"> – </w:t>
      </w:r>
      <w:r w:rsidR="002F5B82">
        <w:rPr>
          <w:rFonts w:ascii="Arial" w:hAnsi="Arial" w:cs="Arial"/>
          <w:b/>
        </w:rPr>
        <w:t>Emploi salarié et intérimaire dans le bâtiment</w:t>
      </w:r>
    </w:p>
    <w:p w14:paraId="24D1BCEA" w14:textId="0B1DBD11" w:rsidR="00D03529" w:rsidRDefault="00984D07" w:rsidP="00D03529">
      <w:pPr>
        <w:spacing w:after="60" w:line="240" w:lineRule="auto"/>
        <w:jc w:val="center"/>
        <w:rPr>
          <w:rFonts w:ascii="Arial" w:hAnsi="Arial" w:cs="Arial"/>
          <w:b/>
        </w:rPr>
      </w:pPr>
      <w:r w:rsidRPr="00984D07">
        <w:rPr>
          <w:rFonts w:ascii="Arial" w:hAnsi="Arial" w:cs="Arial"/>
          <w:b/>
          <w:noProof/>
        </w:rPr>
        <w:drawing>
          <wp:inline distT="0" distB="0" distL="0" distR="0" wp14:anchorId="17DE02EC" wp14:editId="29E41A39">
            <wp:extent cx="5760720" cy="3064510"/>
            <wp:effectExtent l="0" t="0" r="0" b="2540"/>
            <wp:docPr id="129789997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7E48CF54" w14:textId="1546C636" w:rsidR="00431CC7" w:rsidRPr="008C061C" w:rsidRDefault="00431CC7" w:rsidP="00431CC7">
      <w:pPr>
        <w:spacing w:before="60" w:after="120" w:line="360" w:lineRule="auto"/>
        <w:jc w:val="center"/>
        <w:rPr>
          <w:rFonts w:ascii="Arial" w:hAnsi="Arial" w:cs="Arial"/>
          <w:i/>
          <w:sz w:val="20"/>
          <w:szCs w:val="20"/>
        </w:rPr>
      </w:pPr>
      <w:r w:rsidRPr="008C061C">
        <w:rPr>
          <w:rFonts w:ascii="Arial" w:hAnsi="Arial" w:cs="Arial"/>
          <w:i/>
          <w:sz w:val="20"/>
          <w:szCs w:val="20"/>
        </w:rPr>
        <w:t xml:space="preserve">Source : </w:t>
      </w:r>
      <w:r w:rsidR="002F5B82">
        <w:rPr>
          <w:rFonts w:ascii="Arial" w:hAnsi="Arial" w:cs="Arial"/>
          <w:i/>
          <w:sz w:val="20"/>
          <w:szCs w:val="20"/>
        </w:rPr>
        <w:t>FFB d’après Ministère du travail, Dares et Insee</w:t>
      </w:r>
    </w:p>
    <w:p w14:paraId="0FAF9139" w14:textId="10AEB0DA" w:rsidR="0041212A" w:rsidRDefault="006B3174" w:rsidP="0041212A">
      <w:pPr>
        <w:spacing w:after="120" w:line="360" w:lineRule="auto"/>
        <w:jc w:val="both"/>
        <w:rPr>
          <w:rFonts w:ascii="Arial" w:hAnsi="Arial" w:cs="Arial"/>
        </w:rPr>
      </w:pPr>
      <w:r w:rsidRPr="006B3174">
        <w:rPr>
          <w:rFonts w:ascii="Arial" w:hAnsi="Arial" w:cs="Arial"/>
        </w:rPr>
        <w:t>D’ailleurs, les difficultés de recrutement exprimées par les chefs d’entreprises de plus de dix salariés se réduisent de près de 5 points de pourcentage sur un trimestre. Reste que 71,0</w:t>
      </w:r>
      <w:r w:rsidR="004C2A70">
        <w:rPr>
          <w:rFonts w:ascii="Arial" w:hAnsi="Arial" w:cs="Arial"/>
        </w:rPr>
        <w:t> </w:t>
      </w:r>
      <w:r w:rsidRPr="006B3174">
        <w:rPr>
          <w:rFonts w:ascii="Arial" w:hAnsi="Arial" w:cs="Arial"/>
        </w:rPr>
        <w:t>% déclarent encore en souffrir (cf. graphique 1</w:t>
      </w:r>
      <w:r>
        <w:rPr>
          <w:rFonts w:ascii="Arial" w:hAnsi="Arial" w:cs="Arial"/>
        </w:rPr>
        <w:t>7</w:t>
      </w:r>
      <w:r w:rsidRPr="006B3174">
        <w:rPr>
          <w:rFonts w:ascii="Arial" w:hAnsi="Arial" w:cs="Arial"/>
        </w:rPr>
        <w:t>), contre environ 60</w:t>
      </w:r>
      <w:r w:rsidR="004C2A70">
        <w:rPr>
          <w:rFonts w:ascii="Arial" w:hAnsi="Arial" w:cs="Arial"/>
        </w:rPr>
        <w:t> </w:t>
      </w:r>
      <w:r w:rsidRPr="006B3174">
        <w:rPr>
          <w:rFonts w:ascii="Arial" w:hAnsi="Arial" w:cs="Arial"/>
        </w:rPr>
        <w:t xml:space="preserve">% en moyenne depuis le début des années 1990. </w:t>
      </w:r>
    </w:p>
    <w:p w14:paraId="5D62DFCB" w14:textId="76F8411A" w:rsidR="0041212A" w:rsidRPr="002B0511" w:rsidRDefault="0041212A" w:rsidP="0041212A">
      <w:pPr>
        <w:spacing w:after="0" w:line="360" w:lineRule="auto"/>
        <w:jc w:val="center"/>
        <w:rPr>
          <w:rFonts w:ascii="Arial" w:hAnsi="Arial" w:cs="Arial"/>
          <w:b/>
          <w:bCs/>
        </w:rPr>
      </w:pPr>
      <w:r w:rsidRPr="4FF09C5F">
        <w:rPr>
          <w:rFonts w:ascii="Arial" w:hAnsi="Arial" w:cs="Arial"/>
        </w:rPr>
        <w:t xml:space="preserve">Graphique </w:t>
      </w:r>
      <w:r>
        <w:rPr>
          <w:rFonts w:ascii="Arial" w:hAnsi="Arial" w:cs="Arial"/>
        </w:rPr>
        <w:t>1</w:t>
      </w:r>
      <w:r w:rsidR="0024550D">
        <w:rPr>
          <w:rFonts w:ascii="Arial" w:hAnsi="Arial" w:cs="Arial"/>
        </w:rPr>
        <w:t>7</w:t>
      </w:r>
      <w:r>
        <w:rPr>
          <w:rFonts w:ascii="Arial" w:hAnsi="Arial" w:cs="Arial"/>
        </w:rPr>
        <w:t xml:space="preserve"> </w:t>
      </w:r>
      <w:r w:rsidRPr="4FF09C5F">
        <w:rPr>
          <w:rFonts w:ascii="Arial" w:hAnsi="Arial" w:cs="Arial"/>
        </w:rPr>
        <w:t xml:space="preserve">– </w:t>
      </w:r>
      <w:r>
        <w:rPr>
          <w:rFonts w:ascii="Arial" w:hAnsi="Arial" w:cs="Arial"/>
          <w:b/>
          <w:bCs/>
        </w:rPr>
        <w:t>Part</w:t>
      </w:r>
      <w:r w:rsidRPr="4FF09C5F">
        <w:rPr>
          <w:rFonts w:ascii="Arial" w:hAnsi="Arial" w:cs="Arial"/>
          <w:b/>
          <w:bCs/>
        </w:rPr>
        <w:t xml:space="preserve"> des </w:t>
      </w:r>
      <w:r>
        <w:rPr>
          <w:rFonts w:ascii="Arial" w:hAnsi="Arial" w:cs="Arial"/>
          <w:b/>
          <w:bCs/>
        </w:rPr>
        <w:t xml:space="preserve">entreprises </w:t>
      </w:r>
      <w:r w:rsidR="00291BB6">
        <w:rPr>
          <w:rFonts w:ascii="Arial" w:hAnsi="Arial" w:cs="Arial"/>
          <w:b/>
          <w:bCs/>
        </w:rPr>
        <w:t xml:space="preserve">de plus de dix salariés </w:t>
      </w:r>
      <w:r>
        <w:rPr>
          <w:rFonts w:ascii="Arial" w:hAnsi="Arial" w:cs="Arial"/>
          <w:b/>
          <w:bCs/>
        </w:rPr>
        <w:t>éprouvant des difficultés de recrutement</w:t>
      </w:r>
    </w:p>
    <w:p w14:paraId="35304F68" w14:textId="5A4C9112" w:rsidR="0041212A" w:rsidRPr="00A44B3E" w:rsidRDefault="00984D07" w:rsidP="0041212A">
      <w:pPr>
        <w:spacing w:after="60" w:line="240" w:lineRule="auto"/>
        <w:jc w:val="center"/>
        <w:rPr>
          <w:rFonts w:ascii="Arial" w:hAnsi="Arial" w:cs="Arial"/>
        </w:rPr>
      </w:pPr>
      <w:r w:rsidRPr="00984D07">
        <w:rPr>
          <w:rFonts w:ascii="Arial" w:hAnsi="Arial" w:cs="Arial"/>
          <w:noProof/>
        </w:rPr>
        <w:drawing>
          <wp:inline distT="0" distB="0" distL="0" distR="0" wp14:anchorId="49F50DE7" wp14:editId="5FE42203">
            <wp:extent cx="5760720" cy="3064510"/>
            <wp:effectExtent l="0" t="0" r="0" b="2540"/>
            <wp:docPr id="78045752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9630866" w14:textId="77777777" w:rsidR="0041212A" w:rsidRDefault="0041212A" w:rsidP="0041212A">
      <w:pPr>
        <w:spacing w:before="60" w:after="120" w:line="360" w:lineRule="auto"/>
        <w:jc w:val="center"/>
        <w:rPr>
          <w:rFonts w:ascii="Arial" w:hAnsi="Arial" w:cs="Arial"/>
          <w:i/>
          <w:iCs/>
          <w:sz w:val="20"/>
          <w:szCs w:val="20"/>
        </w:rPr>
      </w:pPr>
      <w:r w:rsidRPr="4FF09C5F">
        <w:rPr>
          <w:rFonts w:ascii="Arial" w:hAnsi="Arial" w:cs="Arial"/>
          <w:i/>
          <w:iCs/>
          <w:sz w:val="20"/>
          <w:szCs w:val="20"/>
        </w:rPr>
        <w:t>Source : Insee</w:t>
      </w:r>
    </w:p>
    <w:p w14:paraId="40062502" w14:textId="611550E1" w:rsidR="006B3174" w:rsidRDefault="006B3174" w:rsidP="006B3174">
      <w:pPr>
        <w:spacing w:after="120" w:line="360" w:lineRule="auto"/>
        <w:jc w:val="both"/>
        <w:rPr>
          <w:rFonts w:ascii="Arial" w:hAnsi="Arial" w:cs="Arial"/>
        </w:rPr>
      </w:pPr>
      <w:r w:rsidRPr="006B3174">
        <w:rPr>
          <w:rFonts w:ascii="Arial" w:hAnsi="Arial" w:cs="Arial"/>
        </w:rPr>
        <w:lastRenderedPageBreak/>
        <w:t>C’est dans le gros</w:t>
      </w:r>
      <w:r w:rsidR="004C2A70">
        <w:rPr>
          <w:rFonts w:ascii="Arial" w:hAnsi="Arial" w:cs="Arial"/>
        </w:rPr>
        <w:t>-</w:t>
      </w:r>
      <w:r w:rsidRPr="006B3174">
        <w:rPr>
          <w:rFonts w:ascii="Arial" w:hAnsi="Arial" w:cs="Arial"/>
        </w:rPr>
        <w:t>œuvre, touché en premier par la crise du neuf, que les difficultés de recrutement se replient rapidement à 65,3</w:t>
      </w:r>
      <w:r w:rsidR="004C2A70">
        <w:rPr>
          <w:rFonts w:ascii="Arial" w:hAnsi="Arial" w:cs="Arial"/>
        </w:rPr>
        <w:t> </w:t>
      </w:r>
      <w:r w:rsidRPr="006B3174">
        <w:rPr>
          <w:rFonts w:ascii="Arial" w:hAnsi="Arial" w:cs="Arial"/>
        </w:rPr>
        <w:t xml:space="preserve">%, alors que le second œuvre </w:t>
      </w:r>
      <w:r w:rsidR="004C2A70">
        <w:rPr>
          <w:rFonts w:ascii="Arial" w:hAnsi="Arial" w:cs="Arial"/>
        </w:rPr>
        <w:t>évolue très peu en</w:t>
      </w:r>
      <w:r w:rsidRPr="006B3174">
        <w:rPr>
          <w:rFonts w:ascii="Arial" w:hAnsi="Arial" w:cs="Arial"/>
        </w:rPr>
        <w:t xml:space="preserve"> trois mois, à 76,9</w:t>
      </w:r>
      <w:r w:rsidR="004C2A70">
        <w:rPr>
          <w:rFonts w:ascii="Arial" w:hAnsi="Arial" w:cs="Arial"/>
        </w:rPr>
        <w:t> </w:t>
      </w:r>
      <w:r w:rsidRPr="006B3174">
        <w:rPr>
          <w:rFonts w:ascii="Arial" w:hAnsi="Arial" w:cs="Arial"/>
        </w:rPr>
        <w:t>%.</w:t>
      </w:r>
    </w:p>
    <w:p w14:paraId="19F2190F" w14:textId="7D455B0A" w:rsidR="00ED3322" w:rsidRDefault="00A11886" w:rsidP="00ED3322">
      <w:pPr>
        <w:spacing w:after="120" w:line="360" w:lineRule="auto"/>
        <w:jc w:val="both"/>
        <w:rPr>
          <w:rFonts w:ascii="Arial" w:hAnsi="Arial" w:cs="Arial"/>
        </w:rPr>
      </w:pPr>
      <w:r>
        <w:rPr>
          <w:rFonts w:ascii="Arial" w:hAnsi="Arial" w:cs="Arial"/>
        </w:rPr>
        <w:t>À</w:t>
      </w:r>
      <w:r w:rsidRPr="00A11886">
        <w:rPr>
          <w:rFonts w:ascii="Arial" w:hAnsi="Arial" w:cs="Arial"/>
        </w:rPr>
        <w:t xml:space="preserve"> l’horizon de l’automne, les perspectives d’emploi salarié déclarées par les chefs d’entreprises de plus de dix salariés interrogés par l’Insee se tassent mais se maintiennent en territoire positif (cf. graphique </w:t>
      </w:r>
      <w:r>
        <w:rPr>
          <w:rFonts w:ascii="Arial" w:hAnsi="Arial" w:cs="Arial"/>
        </w:rPr>
        <w:t>18</w:t>
      </w:r>
      <w:r w:rsidRPr="00A11886">
        <w:rPr>
          <w:rFonts w:ascii="Arial" w:hAnsi="Arial" w:cs="Arial"/>
        </w:rPr>
        <w:t>)</w:t>
      </w:r>
      <w:r w:rsidR="006B3174" w:rsidRPr="006B3174">
        <w:rPr>
          <w:rFonts w:ascii="Arial" w:hAnsi="Arial" w:cs="Arial"/>
        </w:rPr>
        <w:t>.</w:t>
      </w:r>
    </w:p>
    <w:p w14:paraId="550B2CBE" w14:textId="345A2ECD" w:rsidR="00ED3322" w:rsidRPr="000965EA" w:rsidRDefault="00ED3322" w:rsidP="00ED3322">
      <w:pPr>
        <w:spacing w:after="0" w:line="360" w:lineRule="auto"/>
        <w:jc w:val="center"/>
        <w:rPr>
          <w:rFonts w:ascii="Arial" w:hAnsi="Arial" w:cs="Arial"/>
          <w:b/>
        </w:rPr>
      </w:pPr>
      <w:r w:rsidRPr="002F1C8C">
        <w:rPr>
          <w:rFonts w:ascii="Arial" w:hAnsi="Arial" w:cs="Arial"/>
        </w:rPr>
        <w:t>Graphique</w:t>
      </w:r>
      <w:r>
        <w:rPr>
          <w:rFonts w:ascii="Arial" w:hAnsi="Arial" w:cs="Arial"/>
        </w:rPr>
        <w:t xml:space="preserve"> 1</w:t>
      </w:r>
      <w:r w:rsidR="0024550D">
        <w:rPr>
          <w:rFonts w:ascii="Arial" w:hAnsi="Arial" w:cs="Arial"/>
        </w:rPr>
        <w:t>8</w:t>
      </w:r>
      <w:r w:rsidRPr="002F1C8C">
        <w:rPr>
          <w:rFonts w:ascii="Arial" w:hAnsi="Arial" w:cs="Arial"/>
        </w:rPr>
        <w:t xml:space="preserve"> – </w:t>
      </w:r>
      <w:r w:rsidRPr="002F1C8C">
        <w:rPr>
          <w:rFonts w:ascii="Arial" w:hAnsi="Arial" w:cs="Arial"/>
          <w:b/>
        </w:rPr>
        <w:t xml:space="preserve">Opinions des chefs d’entreprise sur </w:t>
      </w:r>
      <w:r>
        <w:rPr>
          <w:rFonts w:ascii="Arial" w:hAnsi="Arial" w:cs="Arial"/>
          <w:b/>
        </w:rPr>
        <w:t>les perspectives d’emploi salarié</w:t>
      </w:r>
      <w:r w:rsidRPr="002F1C8C">
        <w:rPr>
          <w:rFonts w:ascii="Arial" w:hAnsi="Arial" w:cs="Arial"/>
          <w:b/>
        </w:rPr>
        <w:t xml:space="preserve"> dans le bâtiment</w:t>
      </w:r>
    </w:p>
    <w:p w14:paraId="28C05CBA" w14:textId="1C0E3AC7" w:rsidR="00ED3322" w:rsidRDefault="00984D07" w:rsidP="00DD4BBC">
      <w:pPr>
        <w:spacing w:after="60" w:line="240" w:lineRule="auto"/>
        <w:jc w:val="center"/>
        <w:rPr>
          <w:rFonts w:ascii="Arial" w:hAnsi="Arial" w:cs="Arial"/>
          <w:noProof/>
          <w:lang w:eastAsia="fr-FR"/>
        </w:rPr>
      </w:pPr>
      <w:r w:rsidRPr="00984D07">
        <w:rPr>
          <w:rFonts w:ascii="Arial" w:hAnsi="Arial" w:cs="Arial"/>
          <w:noProof/>
          <w:lang w:eastAsia="fr-FR"/>
        </w:rPr>
        <w:drawing>
          <wp:inline distT="0" distB="0" distL="0" distR="0" wp14:anchorId="684D215D" wp14:editId="4071F315">
            <wp:extent cx="5760720" cy="3064510"/>
            <wp:effectExtent l="0" t="0" r="0" b="2540"/>
            <wp:docPr id="75103194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76B20E07" w14:textId="77777777" w:rsidR="00ED3322" w:rsidRPr="008E69BA" w:rsidRDefault="00ED3322" w:rsidP="00ED3322">
      <w:pPr>
        <w:spacing w:before="60" w:after="120" w:line="360" w:lineRule="auto"/>
        <w:jc w:val="center"/>
        <w:rPr>
          <w:rFonts w:ascii="Arial" w:hAnsi="Arial" w:cs="Arial"/>
          <w:i/>
          <w:sz w:val="20"/>
          <w:szCs w:val="20"/>
        </w:rPr>
      </w:pPr>
      <w:r w:rsidRPr="008E69BA">
        <w:rPr>
          <w:rFonts w:ascii="Arial" w:hAnsi="Arial" w:cs="Arial"/>
          <w:i/>
          <w:sz w:val="20"/>
          <w:szCs w:val="20"/>
        </w:rPr>
        <w:t xml:space="preserve">Source : </w:t>
      </w:r>
      <w:r>
        <w:rPr>
          <w:rFonts w:ascii="Arial" w:hAnsi="Arial" w:cs="Arial"/>
          <w:i/>
          <w:sz w:val="20"/>
          <w:szCs w:val="20"/>
        </w:rPr>
        <w:t xml:space="preserve">calculs FFB d’après </w:t>
      </w:r>
      <w:r w:rsidRPr="008E69BA">
        <w:rPr>
          <w:rFonts w:ascii="Arial" w:hAnsi="Arial" w:cs="Arial"/>
          <w:i/>
          <w:sz w:val="20"/>
          <w:szCs w:val="20"/>
        </w:rPr>
        <w:t>Insee</w:t>
      </w:r>
    </w:p>
    <w:p w14:paraId="4D2CF4D3" w14:textId="10ED515B" w:rsidR="00A834A2" w:rsidRPr="002A724E" w:rsidRDefault="004F582B" w:rsidP="00134E44">
      <w:pPr>
        <w:spacing w:before="360" w:after="120" w:line="360" w:lineRule="auto"/>
        <w:rPr>
          <w:rFonts w:ascii="Arial" w:hAnsi="Arial" w:cs="Arial"/>
          <w:u w:val="single"/>
        </w:rPr>
      </w:pPr>
      <w:r>
        <w:rPr>
          <w:rFonts w:ascii="Arial" w:hAnsi="Arial" w:cs="Arial"/>
          <w:u w:val="single"/>
        </w:rPr>
        <w:t>3.</w:t>
      </w:r>
      <w:r w:rsidR="00A834A2" w:rsidRPr="00AC597D">
        <w:rPr>
          <w:rFonts w:ascii="Arial" w:hAnsi="Arial" w:cs="Arial"/>
          <w:u w:val="single"/>
        </w:rPr>
        <w:t xml:space="preserve">2 </w:t>
      </w:r>
      <w:r w:rsidR="00A834A2" w:rsidRPr="002A724E">
        <w:rPr>
          <w:rFonts w:ascii="Arial" w:hAnsi="Arial" w:cs="Arial"/>
          <w:u w:val="single"/>
        </w:rPr>
        <w:t>La démographie des entreprises</w:t>
      </w:r>
    </w:p>
    <w:p w14:paraId="42EFAF8E" w14:textId="4227B32E" w:rsidR="00835363" w:rsidRPr="00564C52" w:rsidRDefault="00835363" w:rsidP="00835363">
      <w:pPr>
        <w:spacing w:after="120" w:line="360" w:lineRule="auto"/>
        <w:jc w:val="both"/>
        <w:rPr>
          <w:rFonts w:ascii="Arial" w:hAnsi="Arial" w:cs="Arial"/>
        </w:rPr>
      </w:pPr>
      <w:r w:rsidRPr="00564C52">
        <w:rPr>
          <w:rFonts w:ascii="Arial" w:hAnsi="Arial" w:cs="Arial"/>
        </w:rPr>
        <w:t>Selon l’Insee,</w:t>
      </w:r>
      <w:r w:rsidR="00564C52" w:rsidRPr="00564C52">
        <w:rPr>
          <w:rFonts w:ascii="Arial" w:hAnsi="Arial" w:cs="Arial"/>
        </w:rPr>
        <w:t xml:space="preserve"> les créations, hors micro-entrepreneurs, progressent de 10,6</w:t>
      </w:r>
      <w:r w:rsidR="004C2A70">
        <w:rPr>
          <w:rFonts w:ascii="Arial" w:hAnsi="Arial" w:cs="Arial"/>
        </w:rPr>
        <w:t> %</w:t>
      </w:r>
      <w:r w:rsidR="00564C52" w:rsidRPr="00564C52">
        <w:rPr>
          <w:rFonts w:ascii="Arial" w:hAnsi="Arial" w:cs="Arial"/>
        </w:rPr>
        <w:t xml:space="preserve"> en glissement annuel sur sept mois à fin juillet 2024, et connaissent une amélioration encore plus forte sur la période récente, atteignant +20,1</w:t>
      </w:r>
      <w:r w:rsidR="004C2A70">
        <w:rPr>
          <w:rFonts w:ascii="Arial" w:hAnsi="Arial" w:cs="Arial"/>
        </w:rPr>
        <w:t> %</w:t>
      </w:r>
      <w:r w:rsidR="00564C52" w:rsidRPr="00564C52">
        <w:rPr>
          <w:rFonts w:ascii="Arial" w:hAnsi="Arial" w:cs="Arial"/>
        </w:rPr>
        <w:t xml:space="preserve"> sur trois mois</w:t>
      </w:r>
      <w:r w:rsidR="00BE56D3">
        <w:rPr>
          <w:rFonts w:ascii="Arial" w:hAnsi="Arial" w:cs="Arial"/>
        </w:rPr>
        <w:t xml:space="preserve"> (cf. graphique 19)</w:t>
      </w:r>
      <w:r w:rsidR="00564C52" w:rsidRPr="00564C52">
        <w:rPr>
          <w:rFonts w:ascii="Arial" w:hAnsi="Arial" w:cs="Arial"/>
        </w:rPr>
        <w:t>.</w:t>
      </w:r>
    </w:p>
    <w:p w14:paraId="7B5CBE31" w14:textId="663CB204" w:rsidR="000932E3" w:rsidRPr="00564C52" w:rsidRDefault="00564C52" w:rsidP="000932E3">
      <w:pPr>
        <w:spacing w:after="120" w:line="360" w:lineRule="auto"/>
        <w:jc w:val="both"/>
        <w:rPr>
          <w:rFonts w:ascii="Arial" w:hAnsi="Arial" w:cs="Arial"/>
        </w:rPr>
      </w:pPr>
      <w:r w:rsidRPr="00564C52">
        <w:rPr>
          <w:rFonts w:ascii="Arial" w:hAnsi="Arial" w:cs="Arial"/>
        </w:rPr>
        <w:t>Quant aux défaillances, elles s’envolent de 31,5</w:t>
      </w:r>
      <w:r w:rsidR="004C2A70">
        <w:rPr>
          <w:rFonts w:ascii="Arial" w:hAnsi="Arial" w:cs="Arial"/>
        </w:rPr>
        <w:t> %</w:t>
      </w:r>
      <w:r w:rsidRPr="00564C52">
        <w:rPr>
          <w:rFonts w:ascii="Arial" w:hAnsi="Arial" w:cs="Arial"/>
        </w:rPr>
        <w:t xml:space="preserve"> sur la même période, même si elles se stabilisent </w:t>
      </w:r>
      <w:r w:rsidR="007862F3">
        <w:rPr>
          <w:rFonts w:ascii="Arial" w:hAnsi="Arial" w:cs="Arial"/>
        </w:rPr>
        <w:t xml:space="preserve">globalement </w:t>
      </w:r>
      <w:r w:rsidRPr="00564C52">
        <w:rPr>
          <w:rFonts w:ascii="Arial" w:hAnsi="Arial" w:cs="Arial"/>
        </w:rPr>
        <w:t xml:space="preserve">en niveau </w:t>
      </w:r>
      <w:r w:rsidR="00EC4E8C">
        <w:rPr>
          <w:rFonts w:ascii="Arial" w:hAnsi="Arial" w:cs="Arial"/>
        </w:rPr>
        <w:t xml:space="preserve">mois après mois </w:t>
      </w:r>
      <w:r w:rsidRPr="00564C52">
        <w:rPr>
          <w:rFonts w:ascii="Arial" w:hAnsi="Arial" w:cs="Arial"/>
        </w:rPr>
        <w:t>depuis le début de l’année. Plus précisément, selon Altares, en glissement annuel</w:t>
      </w:r>
      <w:r w:rsidR="00EC4E8C">
        <w:rPr>
          <w:rFonts w:ascii="Arial" w:hAnsi="Arial" w:cs="Arial"/>
        </w:rPr>
        <w:t xml:space="preserve"> sur huit mois</w:t>
      </w:r>
      <w:r w:rsidRPr="00564C52">
        <w:rPr>
          <w:rFonts w:ascii="Arial" w:hAnsi="Arial" w:cs="Arial"/>
        </w:rPr>
        <w:t xml:space="preserve"> à fin août 2024, elles s’affichent à +30,4</w:t>
      </w:r>
      <w:r w:rsidR="004C2A70">
        <w:rPr>
          <w:rFonts w:ascii="Arial" w:hAnsi="Arial" w:cs="Arial"/>
        </w:rPr>
        <w:t> %</w:t>
      </w:r>
      <w:r w:rsidRPr="00564C52">
        <w:rPr>
          <w:rFonts w:ascii="Arial" w:hAnsi="Arial" w:cs="Arial"/>
        </w:rPr>
        <w:t xml:space="preserve"> dans le bâtiment, avec une progression un peu plus importante dans le gros œuvre (+35,2</w:t>
      </w:r>
      <w:r w:rsidR="004C2A70">
        <w:rPr>
          <w:rFonts w:ascii="Arial" w:hAnsi="Arial" w:cs="Arial"/>
        </w:rPr>
        <w:t> %</w:t>
      </w:r>
      <w:r w:rsidRPr="00564C52">
        <w:rPr>
          <w:rFonts w:ascii="Arial" w:hAnsi="Arial" w:cs="Arial"/>
        </w:rPr>
        <w:t>) que dans le second œuvre (+27,4</w:t>
      </w:r>
      <w:r w:rsidR="004C2A70">
        <w:rPr>
          <w:rFonts w:ascii="Arial" w:hAnsi="Arial" w:cs="Arial"/>
        </w:rPr>
        <w:t> %</w:t>
      </w:r>
      <w:r w:rsidRPr="00564C52">
        <w:rPr>
          <w:rFonts w:ascii="Arial" w:hAnsi="Arial" w:cs="Arial"/>
        </w:rPr>
        <w:t>).</w:t>
      </w:r>
    </w:p>
    <w:p w14:paraId="29B929AD" w14:textId="77777777" w:rsidR="00564C52" w:rsidRDefault="00564C52">
      <w:pPr>
        <w:rPr>
          <w:rFonts w:ascii="Arial" w:hAnsi="Arial" w:cs="Arial"/>
        </w:rPr>
      </w:pPr>
      <w:r>
        <w:rPr>
          <w:rFonts w:ascii="Arial" w:hAnsi="Arial" w:cs="Arial"/>
        </w:rPr>
        <w:br w:type="page"/>
      </w:r>
    </w:p>
    <w:p w14:paraId="2A92943D" w14:textId="7831CE02" w:rsidR="008D170E" w:rsidRPr="00CE4DB2" w:rsidRDefault="008D170E" w:rsidP="00906346">
      <w:pPr>
        <w:spacing w:after="0" w:line="360" w:lineRule="auto"/>
        <w:jc w:val="center"/>
        <w:rPr>
          <w:rFonts w:ascii="Arial" w:hAnsi="Arial" w:cs="Arial"/>
          <w:b/>
        </w:rPr>
      </w:pPr>
      <w:r w:rsidRPr="00CE4DB2">
        <w:rPr>
          <w:rFonts w:ascii="Arial" w:hAnsi="Arial" w:cs="Arial"/>
        </w:rPr>
        <w:lastRenderedPageBreak/>
        <w:t xml:space="preserve">Graphique </w:t>
      </w:r>
      <w:r w:rsidR="00E67FD8">
        <w:rPr>
          <w:rFonts w:ascii="Arial" w:hAnsi="Arial" w:cs="Arial"/>
        </w:rPr>
        <w:t>1</w:t>
      </w:r>
      <w:r w:rsidR="00F42C00">
        <w:rPr>
          <w:rFonts w:ascii="Arial" w:hAnsi="Arial" w:cs="Arial"/>
        </w:rPr>
        <w:t>9</w:t>
      </w:r>
      <w:r w:rsidRPr="00CE4DB2">
        <w:rPr>
          <w:rFonts w:ascii="Arial" w:hAnsi="Arial" w:cs="Arial"/>
        </w:rPr>
        <w:t xml:space="preserve"> – </w:t>
      </w:r>
      <w:r w:rsidRPr="00CE4DB2">
        <w:rPr>
          <w:rFonts w:ascii="Arial" w:hAnsi="Arial" w:cs="Arial"/>
          <w:b/>
        </w:rPr>
        <w:t>Créations et défaillances d’entreprises dans la construction</w:t>
      </w:r>
    </w:p>
    <w:p w14:paraId="544DC4D8" w14:textId="2432B031" w:rsidR="008D170E" w:rsidRPr="00C26FE7" w:rsidRDefault="00984D07" w:rsidP="00C82E04">
      <w:pPr>
        <w:spacing w:after="60" w:line="240" w:lineRule="auto"/>
        <w:jc w:val="center"/>
        <w:rPr>
          <w:rFonts w:ascii="Arial" w:hAnsi="Arial" w:cs="Arial"/>
          <w:sz w:val="20"/>
          <w:szCs w:val="20"/>
        </w:rPr>
      </w:pPr>
      <w:r w:rsidRPr="00984D07">
        <w:rPr>
          <w:rFonts w:ascii="Arial" w:hAnsi="Arial" w:cs="Arial"/>
          <w:noProof/>
          <w:sz w:val="20"/>
          <w:szCs w:val="20"/>
        </w:rPr>
        <w:drawing>
          <wp:inline distT="0" distB="0" distL="0" distR="0" wp14:anchorId="6186EC20" wp14:editId="4974EA2F">
            <wp:extent cx="5760720" cy="3064510"/>
            <wp:effectExtent l="0" t="0" r="0" b="2540"/>
            <wp:docPr id="14627448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379A40B6" w14:textId="57AA5E65" w:rsidR="00D97F0A" w:rsidRDefault="008D170E" w:rsidP="00D97F0A">
      <w:pPr>
        <w:spacing w:after="120" w:line="360" w:lineRule="auto"/>
        <w:jc w:val="center"/>
        <w:rPr>
          <w:rFonts w:ascii="Arial" w:hAnsi="Arial" w:cs="Arial"/>
        </w:rPr>
      </w:pPr>
      <w:r w:rsidRPr="000447DC">
        <w:rPr>
          <w:rFonts w:ascii="Arial" w:hAnsi="Arial" w:cs="Arial"/>
          <w:i/>
          <w:sz w:val="20"/>
          <w:szCs w:val="20"/>
        </w:rPr>
        <w:t>Source : Insee</w:t>
      </w:r>
      <w:r>
        <w:rPr>
          <w:rFonts w:ascii="Arial" w:hAnsi="Arial" w:cs="Arial"/>
          <w:i/>
          <w:sz w:val="20"/>
          <w:szCs w:val="20"/>
        </w:rPr>
        <w:t> ;</w:t>
      </w:r>
      <w:r w:rsidRPr="000447DC">
        <w:rPr>
          <w:rFonts w:ascii="Arial" w:hAnsi="Arial" w:cs="Arial"/>
          <w:i/>
          <w:sz w:val="20"/>
          <w:szCs w:val="20"/>
        </w:rPr>
        <w:t xml:space="preserve"> Banque de </w:t>
      </w:r>
      <w:r w:rsidR="00D97F0A">
        <w:rPr>
          <w:rFonts w:ascii="Arial" w:hAnsi="Arial" w:cs="Arial"/>
          <w:i/>
          <w:sz w:val="20"/>
          <w:szCs w:val="20"/>
        </w:rPr>
        <w:t>France</w:t>
      </w:r>
    </w:p>
    <w:p w14:paraId="0B2A8D02" w14:textId="15E3CA65" w:rsidR="00A834A2" w:rsidRPr="003A74CE" w:rsidRDefault="00A834A2" w:rsidP="00A869CD">
      <w:pPr>
        <w:spacing w:before="360" w:after="120" w:line="360" w:lineRule="auto"/>
        <w:rPr>
          <w:rFonts w:ascii="Arial" w:hAnsi="Arial" w:cs="Arial"/>
          <w:u w:val="single"/>
        </w:rPr>
      </w:pPr>
      <w:r w:rsidRPr="003A74CE">
        <w:rPr>
          <w:rFonts w:ascii="Arial" w:hAnsi="Arial" w:cs="Arial"/>
          <w:u w:val="single"/>
        </w:rPr>
        <w:t>3.3 La situation financière des entreprises</w:t>
      </w:r>
    </w:p>
    <w:p w14:paraId="119B4ED1" w14:textId="09CCACD2" w:rsidR="000932E3" w:rsidRDefault="00CE68C7" w:rsidP="000932E3">
      <w:pPr>
        <w:spacing w:after="120" w:line="360" w:lineRule="auto"/>
        <w:jc w:val="both"/>
        <w:rPr>
          <w:rFonts w:ascii="Arial" w:hAnsi="Arial" w:cs="Arial"/>
        </w:rPr>
      </w:pPr>
      <w:r>
        <w:rPr>
          <w:rFonts w:ascii="Arial" w:hAnsi="Arial" w:cs="Arial"/>
        </w:rPr>
        <w:t>P</w:t>
      </w:r>
      <w:r w:rsidRPr="00CE68C7">
        <w:rPr>
          <w:rFonts w:ascii="Arial" w:hAnsi="Arial" w:cs="Arial"/>
        </w:rPr>
        <w:t xml:space="preserve">our les entreprises de plus de dix salariés, </w:t>
      </w:r>
      <w:r w:rsidR="00970807">
        <w:rPr>
          <w:rFonts w:ascii="Arial" w:hAnsi="Arial" w:cs="Arial"/>
        </w:rPr>
        <w:t>l</w:t>
      </w:r>
      <w:r w:rsidRPr="00CE68C7">
        <w:rPr>
          <w:rFonts w:ascii="Arial" w:hAnsi="Arial" w:cs="Arial"/>
        </w:rPr>
        <w:t xml:space="preserve">es délais de paiement </w:t>
      </w:r>
      <w:r w:rsidR="0068055B">
        <w:rPr>
          <w:rFonts w:ascii="Arial" w:hAnsi="Arial" w:cs="Arial"/>
        </w:rPr>
        <w:t xml:space="preserve">des clients </w:t>
      </w:r>
      <w:r w:rsidRPr="00CE68C7">
        <w:rPr>
          <w:rFonts w:ascii="Arial" w:hAnsi="Arial" w:cs="Arial"/>
        </w:rPr>
        <w:t>s</w:t>
      </w:r>
      <w:r w:rsidR="00F14CD0">
        <w:rPr>
          <w:rFonts w:ascii="Arial" w:hAnsi="Arial" w:cs="Arial"/>
        </w:rPr>
        <w:t>e réduis</w:t>
      </w:r>
      <w:r w:rsidRPr="00CE68C7">
        <w:rPr>
          <w:rFonts w:ascii="Arial" w:hAnsi="Arial" w:cs="Arial"/>
        </w:rPr>
        <w:t>e</w:t>
      </w:r>
      <w:r w:rsidR="00970807">
        <w:rPr>
          <w:rFonts w:ascii="Arial" w:hAnsi="Arial" w:cs="Arial"/>
        </w:rPr>
        <w:t>nt</w:t>
      </w:r>
      <w:r w:rsidRPr="00CE68C7">
        <w:rPr>
          <w:rFonts w:ascii="Arial" w:hAnsi="Arial" w:cs="Arial"/>
        </w:rPr>
        <w:t xml:space="preserve"> </w:t>
      </w:r>
      <w:r w:rsidR="0068055B">
        <w:rPr>
          <w:rFonts w:ascii="Arial" w:hAnsi="Arial" w:cs="Arial"/>
        </w:rPr>
        <w:t xml:space="preserve">un peu </w:t>
      </w:r>
      <w:r w:rsidR="00970807">
        <w:rPr>
          <w:rFonts w:ascii="Arial" w:hAnsi="Arial" w:cs="Arial"/>
        </w:rPr>
        <w:t xml:space="preserve">sur le deuxième trimestre 2024 </w:t>
      </w:r>
      <w:r w:rsidRPr="00CE68C7">
        <w:rPr>
          <w:rFonts w:ascii="Arial" w:hAnsi="Arial" w:cs="Arial"/>
        </w:rPr>
        <w:t xml:space="preserve">(cf. graphique </w:t>
      </w:r>
      <w:r w:rsidR="00A104D2">
        <w:rPr>
          <w:rFonts w:ascii="Arial" w:hAnsi="Arial" w:cs="Arial"/>
        </w:rPr>
        <w:t>20</w:t>
      </w:r>
      <w:r w:rsidRPr="00CE68C7">
        <w:rPr>
          <w:rFonts w:ascii="Arial" w:hAnsi="Arial" w:cs="Arial"/>
        </w:rPr>
        <w:t>)</w:t>
      </w:r>
      <w:r w:rsidR="00E766C1" w:rsidRPr="00F67A2E">
        <w:rPr>
          <w:rFonts w:ascii="Arial" w:hAnsi="Arial" w:cs="Arial"/>
        </w:rPr>
        <w:t>.</w:t>
      </w:r>
    </w:p>
    <w:p w14:paraId="052E0F01" w14:textId="68DD2491" w:rsidR="00CD60C0" w:rsidRPr="000965EA" w:rsidRDefault="00CD60C0" w:rsidP="000932E3">
      <w:pPr>
        <w:spacing w:after="60" w:line="360" w:lineRule="auto"/>
        <w:jc w:val="center"/>
        <w:rPr>
          <w:rFonts w:ascii="Arial" w:hAnsi="Arial" w:cs="Arial"/>
          <w:b/>
        </w:rPr>
      </w:pPr>
      <w:r w:rsidRPr="002F1C8C">
        <w:rPr>
          <w:rFonts w:ascii="Arial" w:hAnsi="Arial" w:cs="Arial"/>
        </w:rPr>
        <w:t>Graphique</w:t>
      </w:r>
      <w:r>
        <w:rPr>
          <w:rFonts w:ascii="Arial" w:hAnsi="Arial" w:cs="Arial"/>
        </w:rPr>
        <w:t xml:space="preserve"> </w:t>
      </w:r>
      <w:r w:rsidR="00F42C00">
        <w:rPr>
          <w:rFonts w:ascii="Arial" w:hAnsi="Arial" w:cs="Arial"/>
        </w:rPr>
        <w:t>20</w:t>
      </w:r>
      <w:r w:rsidRPr="002F1C8C">
        <w:rPr>
          <w:rFonts w:ascii="Arial" w:hAnsi="Arial" w:cs="Arial"/>
        </w:rPr>
        <w:t xml:space="preserve"> – </w:t>
      </w:r>
      <w:r w:rsidRPr="002F1C8C">
        <w:rPr>
          <w:rFonts w:ascii="Arial" w:hAnsi="Arial" w:cs="Arial"/>
          <w:b/>
        </w:rPr>
        <w:t xml:space="preserve">Opinions des chefs d’entreprise </w:t>
      </w:r>
      <w:r w:rsidR="0019578B">
        <w:rPr>
          <w:rFonts w:ascii="Arial" w:hAnsi="Arial" w:cs="Arial"/>
          <w:b/>
        </w:rPr>
        <w:t xml:space="preserve">de plus de dix salariés </w:t>
      </w:r>
      <w:r w:rsidRPr="002F1C8C">
        <w:rPr>
          <w:rFonts w:ascii="Arial" w:hAnsi="Arial" w:cs="Arial"/>
          <w:b/>
        </w:rPr>
        <w:t xml:space="preserve">sur </w:t>
      </w:r>
      <w:r>
        <w:rPr>
          <w:rFonts w:ascii="Arial" w:hAnsi="Arial" w:cs="Arial"/>
          <w:b/>
        </w:rPr>
        <w:t>les délais de paiement des clients</w:t>
      </w:r>
      <w:r w:rsidRPr="002F1C8C">
        <w:rPr>
          <w:rFonts w:ascii="Arial" w:hAnsi="Arial" w:cs="Arial"/>
          <w:b/>
        </w:rPr>
        <w:t xml:space="preserve"> dans le bâtiment</w:t>
      </w:r>
    </w:p>
    <w:p w14:paraId="18B837E3" w14:textId="664F2544" w:rsidR="00CD60C0" w:rsidRPr="008E69BA" w:rsidRDefault="00304362" w:rsidP="00675802">
      <w:pPr>
        <w:spacing w:after="120" w:line="360" w:lineRule="auto"/>
        <w:jc w:val="center"/>
        <w:rPr>
          <w:rFonts w:ascii="Arial" w:hAnsi="Arial" w:cs="Arial"/>
          <w:i/>
          <w:sz w:val="20"/>
          <w:szCs w:val="20"/>
        </w:rPr>
      </w:pPr>
      <w:r w:rsidRPr="00304362">
        <w:rPr>
          <w:rFonts w:ascii="Arial" w:hAnsi="Arial" w:cs="Arial"/>
          <w:i/>
          <w:noProof/>
          <w:sz w:val="20"/>
          <w:szCs w:val="20"/>
        </w:rPr>
        <w:drawing>
          <wp:inline distT="0" distB="0" distL="0" distR="0" wp14:anchorId="0F374FF0" wp14:editId="6DB43B11">
            <wp:extent cx="5760720" cy="3054985"/>
            <wp:effectExtent l="0" t="0" r="0" b="0"/>
            <wp:docPr id="78263690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r w:rsidR="00CD60C0" w:rsidRPr="008E69BA">
        <w:rPr>
          <w:rFonts w:ascii="Arial" w:hAnsi="Arial" w:cs="Arial"/>
          <w:i/>
          <w:sz w:val="20"/>
          <w:szCs w:val="20"/>
        </w:rPr>
        <w:t xml:space="preserve">Source : </w:t>
      </w:r>
      <w:r w:rsidR="00CD60C0">
        <w:rPr>
          <w:rFonts w:ascii="Arial" w:hAnsi="Arial" w:cs="Arial"/>
          <w:i/>
          <w:sz w:val="20"/>
          <w:szCs w:val="20"/>
        </w:rPr>
        <w:t xml:space="preserve">calculs FFB d’après </w:t>
      </w:r>
      <w:r w:rsidR="00CD60C0" w:rsidRPr="008E69BA">
        <w:rPr>
          <w:rFonts w:ascii="Arial" w:hAnsi="Arial" w:cs="Arial"/>
          <w:i/>
          <w:sz w:val="20"/>
          <w:szCs w:val="20"/>
        </w:rPr>
        <w:t>Insee</w:t>
      </w:r>
    </w:p>
    <w:p w14:paraId="79E5DB84" w14:textId="77777777" w:rsidR="00DA2009" w:rsidRDefault="00DA2009" w:rsidP="00A50855">
      <w:pPr>
        <w:spacing w:after="120" w:line="360" w:lineRule="auto"/>
        <w:jc w:val="both"/>
        <w:rPr>
          <w:rFonts w:ascii="Arial" w:hAnsi="Arial" w:cs="Arial"/>
        </w:rPr>
      </w:pPr>
    </w:p>
    <w:p w14:paraId="1FDC3667" w14:textId="6FF81BA4" w:rsidR="00DA2009" w:rsidRDefault="00DA2009" w:rsidP="00A50855">
      <w:pPr>
        <w:spacing w:after="120" w:line="360" w:lineRule="auto"/>
        <w:jc w:val="both"/>
        <w:rPr>
          <w:rFonts w:ascii="Arial" w:hAnsi="Arial" w:cs="Arial"/>
        </w:rPr>
      </w:pPr>
      <w:r>
        <w:rPr>
          <w:rFonts w:ascii="Arial" w:hAnsi="Arial" w:cs="Arial"/>
        </w:rPr>
        <w:lastRenderedPageBreak/>
        <w:t xml:space="preserve">De fait, </w:t>
      </w:r>
      <w:r w:rsidRPr="00CE68C7">
        <w:rPr>
          <w:rFonts w:ascii="Arial" w:hAnsi="Arial" w:cs="Arial"/>
        </w:rPr>
        <w:t xml:space="preserve">ils se maintiennent au niveau de leur moyenne de longue période sur les marchés privés et </w:t>
      </w:r>
      <w:r w:rsidR="0068055B">
        <w:rPr>
          <w:rFonts w:ascii="Arial" w:hAnsi="Arial" w:cs="Arial"/>
        </w:rPr>
        <w:t>se replient</w:t>
      </w:r>
      <w:r w:rsidRPr="00CE68C7">
        <w:rPr>
          <w:rFonts w:ascii="Arial" w:hAnsi="Arial" w:cs="Arial"/>
        </w:rPr>
        <w:t xml:space="preserve"> sur les marchés publics, pour s’établir 2,2 points au-dessus de leur moyenne relevée depuis 1990</w:t>
      </w:r>
      <w:r w:rsidR="00F14CD0">
        <w:rPr>
          <w:rFonts w:ascii="Arial" w:hAnsi="Arial" w:cs="Arial"/>
        </w:rPr>
        <w:t>.</w:t>
      </w:r>
    </w:p>
    <w:p w14:paraId="76BB2775" w14:textId="022350B7" w:rsidR="00A50855" w:rsidRPr="009E1A6C" w:rsidRDefault="00CF1121" w:rsidP="00A50855">
      <w:pPr>
        <w:spacing w:after="120" w:line="360" w:lineRule="auto"/>
        <w:jc w:val="both"/>
        <w:rPr>
          <w:rFonts w:ascii="Arial" w:hAnsi="Arial" w:cs="Arial"/>
        </w:rPr>
      </w:pPr>
      <w:r>
        <w:rPr>
          <w:rFonts w:ascii="Arial" w:hAnsi="Arial" w:cs="Arial"/>
        </w:rPr>
        <w:t>T</w:t>
      </w:r>
      <w:r w:rsidRPr="00CF1121">
        <w:rPr>
          <w:rFonts w:ascii="Arial" w:hAnsi="Arial" w:cs="Arial"/>
        </w:rPr>
        <w:t xml:space="preserve">oujours sur le deuxième trimestre 2024, l’opinion des chefs d’entreprise de plus de dix salariés sur leur trésorerie se tasse et se rapproche de leur moyenne de longue période (cf. graphique </w:t>
      </w:r>
      <w:r>
        <w:rPr>
          <w:rFonts w:ascii="Arial" w:hAnsi="Arial" w:cs="Arial"/>
        </w:rPr>
        <w:t>21</w:t>
      </w:r>
      <w:r w:rsidRPr="00CF1121">
        <w:rPr>
          <w:rFonts w:ascii="Arial" w:hAnsi="Arial" w:cs="Arial"/>
        </w:rPr>
        <w:t>).</w:t>
      </w:r>
    </w:p>
    <w:p w14:paraId="04E5B5A9" w14:textId="329696AC" w:rsidR="00A50855" w:rsidRPr="000965EA" w:rsidRDefault="00A50855" w:rsidP="00A50855">
      <w:pPr>
        <w:spacing w:after="0" w:line="360" w:lineRule="auto"/>
        <w:jc w:val="center"/>
        <w:rPr>
          <w:rFonts w:ascii="Arial" w:hAnsi="Arial" w:cs="Arial"/>
          <w:b/>
        </w:rPr>
      </w:pPr>
      <w:r w:rsidRPr="002F1C8C">
        <w:rPr>
          <w:rFonts w:ascii="Arial" w:hAnsi="Arial" w:cs="Arial"/>
        </w:rPr>
        <w:t>Graphique</w:t>
      </w:r>
      <w:r>
        <w:rPr>
          <w:rFonts w:ascii="Arial" w:hAnsi="Arial" w:cs="Arial"/>
        </w:rPr>
        <w:t xml:space="preserve"> </w:t>
      </w:r>
      <w:r w:rsidR="001F20CF">
        <w:rPr>
          <w:rFonts w:ascii="Arial" w:hAnsi="Arial" w:cs="Arial"/>
        </w:rPr>
        <w:t>2</w:t>
      </w:r>
      <w:r w:rsidR="00F42C00">
        <w:rPr>
          <w:rFonts w:ascii="Arial" w:hAnsi="Arial" w:cs="Arial"/>
        </w:rPr>
        <w:t>1</w:t>
      </w:r>
      <w:r w:rsidRPr="002F1C8C">
        <w:rPr>
          <w:rFonts w:ascii="Arial" w:hAnsi="Arial" w:cs="Arial"/>
        </w:rPr>
        <w:t xml:space="preserve"> – </w:t>
      </w:r>
      <w:r w:rsidRPr="002F1C8C">
        <w:rPr>
          <w:rFonts w:ascii="Arial" w:hAnsi="Arial" w:cs="Arial"/>
          <w:b/>
        </w:rPr>
        <w:t>Opinions des chefs d’entreprise</w:t>
      </w:r>
      <w:r w:rsidR="0019578B">
        <w:rPr>
          <w:rFonts w:ascii="Arial" w:hAnsi="Arial" w:cs="Arial"/>
          <w:b/>
        </w:rPr>
        <w:t xml:space="preserve"> de plus de dix salariés </w:t>
      </w:r>
      <w:r w:rsidRPr="002F1C8C">
        <w:rPr>
          <w:rFonts w:ascii="Arial" w:hAnsi="Arial" w:cs="Arial"/>
          <w:b/>
        </w:rPr>
        <w:t>sur la trésorerie dans le bâtiment</w:t>
      </w:r>
    </w:p>
    <w:p w14:paraId="7B76B523" w14:textId="0DE8163C" w:rsidR="00A50855" w:rsidRDefault="00304362" w:rsidP="00675802">
      <w:pPr>
        <w:spacing w:after="60" w:line="240" w:lineRule="auto"/>
        <w:jc w:val="center"/>
        <w:rPr>
          <w:rFonts w:ascii="Arial" w:hAnsi="Arial" w:cs="Arial"/>
          <w:noProof/>
          <w:lang w:eastAsia="fr-FR"/>
        </w:rPr>
      </w:pPr>
      <w:r w:rsidRPr="00304362">
        <w:rPr>
          <w:rFonts w:ascii="Arial" w:hAnsi="Arial" w:cs="Arial"/>
          <w:noProof/>
          <w:lang w:eastAsia="fr-FR"/>
        </w:rPr>
        <w:drawing>
          <wp:inline distT="0" distB="0" distL="0" distR="0" wp14:anchorId="16FADE93" wp14:editId="547AE6D4">
            <wp:extent cx="5760720" cy="3064510"/>
            <wp:effectExtent l="0" t="0" r="0" b="2540"/>
            <wp:docPr id="126761830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140FE805" w14:textId="77777777" w:rsidR="00A50855" w:rsidRPr="008E69BA" w:rsidRDefault="00A50855" w:rsidP="00A50855">
      <w:pPr>
        <w:spacing w:before="60" w:after="120" w:line="360" w:lineRule="auto"/>
        <w:jc w:val="center"/>
        <w:rPr>
          <w:rFonts w:ascii="Arial" w:hAnsi="Arial" w:cs="Arial"/>
          <w:i/>
          <w:sz w:val="20"/>
          <w:szCs w:val="20"/>
        </w:rPr>
      </w:pPr>
      <w:r w:rsidRPr="008E69BA">
        <w:rPr>
          <w:rFonts w:ascii="Arial" w:hAnsi="Arial" w:cs="Arial"/>
          <w:i/>
          <w:sz w:val="20"/>
          <w:szCs w:val="20"/>
        </w:rPr>
        <w:t xml:space="preserve">Source : </w:t>
      </w:r>
      <w:r>
        <w:rPr>
          <w:rFonts w:ascii="Arial" w:hAnsi="Arial" w:cs="Arial"/>
          <w:i/>
          <w:sz w:val="20"/>
          <w:szCs w:val="20"/>
        </w:rPr>
        <w:t xml:space="preserve">calculs FFB d’après </w:t>
      </w:r>
      <w:r w:rsidRPr="008E69BA">
        <w:rPr>
          <w:rFonts w:ascii="Arial" w:hAnsi="Arial" w:cs="Arial"/>
          <w:i/>
          <w:sz w:val="20"/>
          <w:szCs w:val="20"/>
        </w:rPr>
        <w:t>Insee</w:t>
      </w:r>
    </w:p>
    <w:p w14:paraId="33DED87D" w14:textId="5F47C95F" w:rsidR="00344DC4" w:rsidRPr="00C81ED4" w:rsidRDefault="00C81ED4" w:rsidP="00344DC4">
      <w:pPr>
        <w:pStyle w:val="Sansinterligne"/>
        <w:spacing w:after="60" w:line="360" w:lineRule="auto"/>
        <w:jc w:val="both"/>
        <w:rPr>
          <w:rFonts w:ascii="Arial" w:hAnsi="Arial" w:cs="Arial"/>
        </w:rPr>
      </w:pPr>
      <w:r w:rsidRPr="00C81ED4">
        <w:rPr>
          <w:rFonts w:ascii="Arial" w:hAnsi="Arial" w:cs="Arial"/>
        </w:rPr>
        <w:t>Par ailleurs</w:t>
      </w:r>
      <w:r w:rsidR="00344DC4" w:rsidRPr="00C81ED4">
        <w:rPr>
          <w:rFonts w:ascii="Arial" w:hAnsi="Arial" w:cs="Arial"/>
        </w:rPr>
        <w:t xml:space="preserve">, on relève une </w:t>
      </w:r>
      <w:r w:rsidR="005C290E" w:rsidRPr="00C81ED4">
        <w:rPr>
          <w:rFonts w:ascii="Arial" w:hAnsi="Arial" w:cs="Arial"/>
        </w:rPr>
        <w:t>baisse</w:t>
      </w:r>
      <w:r w:rsidR="00344DC4" w:rsidRPr="00C81ED4">
        <w:rPr>
          <w:rFonts w:ascii="Arial" w:hAnsi="Arial" w:cs="Arial"/>
        </w:rPr>
        <w:t xml:space="preserve"> </w:t>
      </w:r>
      <w:r w:rsidR="005C290E" w:rsidRPr="00C81ED4">
        <w:rPr>
          <w:rFonts w:ascii="Arial" w:hAnsi="Arial" w:cs="Arial"/>
        </w:rPr>
        <w:t>de 0,</w:t>
      </w:r>
      <w:r w:rsidRPr="00C81ED4">
        <w:rPr>
          <w:rFonts w:ascii="Arial" w:hAnsi="Arial" w:cs="Arial"/>
        </w:rPr>
        <w:t>6</w:t>
      </w:r>
      <w:r w:rsidR="005C290E" w:rsidRPr="00C81ED4">
        <w:rPr>
          <w:rFonts w:ascii="Arial" w:hAnsi="Arial" w:cs="Arial"/>
        </w:rPr>
        <w:t xml:space="preserve"> point de pourcentage </w:t>
      </w:r>
      <w:r w:rsidR="00344DC4" w:rsidRPr="00C81ED4">
        <w:rPr>
          <w:rFonts w:ascii="Arial" w:hAnsi="Arial" w:cs="Arial"/>
        </w:rPr>
        <w:t xml:space="preserve">du taux de marge opérationnelle (corrigé de la rémunération du travail des chefs d’entreprise non salariés) dans la construction sur </w:t>
      </w:r>
      <w:r w:rsidR="005C290E" w:rsidRPr="00C81ED4">
        <w:rPr>
          <w:rFonts w:ascii="Arial" w:hAnsi="Arial" w:cs="Arial"/>
        </w:rPr>
        <w:t xml:space="preserve">le </w:t>
      </w:r>
      <w:r w:rsidRPr="00C81ED4">
        <w:rPr>
          <w:rFonts w:ascii="Arial" w:hAnsi="Arial" w:cs="Arial"/>
        </w:rPr>
        <w:t>deuxième</w:t>
      </w:r>
      <w:r w:rsidR="005C290E" w:rsidRPr="00C81ED4">
        <w:rPr>
          <w:rFonts w:ascii="Arial" w:hAnsi="Arial" w:cs="Arial"/>
        </w:rPr>
        <w:t xml:space="preserve"> trimestre 2024</w:t>
      </w:r>
      <w:r w:rsidR="00344DC4" w:rsidRPr="00C81ED4">
        <w:rPr>
          <w:rFonts w:ascii="Arial" w:hAnsi="Arial" w:cs="Arial"/>
        </w:rPr>
        <w:t xml:space="preserve">, </w:t>
      </w:r>
      <w:r w:rsidR="005C290E" w:rsidRPr="00C81ED4">
        <w:rPr>
          <w:rFonts w:ascii="Arial" w:hAnsi="Arial" w:cs="Arial"/>
        </w:rPr>
        <w:t>à</w:t>
      </w:r>
      <w:r w:rsidR="00344DC4" w:rsidRPr="00C81ED4">
        <w:rPr>
          <w:rFonts w:ascii="Arial" w:hAnsi="Arial" w:cs="Arial"/>
        </w:rPr>
        <w:t xml:space="preserve"> 2</w:t>
      </w:r>
      <w:r w:rsidRPr="00C81ED4">
        <w:rPr>
          <w:rFonts w:ascii="Arial" w:hAnsi="Arial" w:cs="Arial"/>
        </w:rPr>
        <w:t>0</w:t>
      </w:r>
      <w:r w:rsidR="00344DC4" w:rsidRPr="00C81ED4">
        <w:rPr>
          <w:rFonts w:ascii="Arial" w:hAnsi="Arial" w:cs="Arial"/>
        </w:rPr>
        <w:t>,</w:t>
      </w:r>
      <w:r w:rsidR="005C290E" w:rsidRPr="00C81ED4">
        <w:rPr>
          <w:rFonts w:ascii="Arial" w:hAnsi="Arial" w:cs="Arial"/>
        </w:rPr>
        <w:t>3</w:t>
      </w:r>
      <w:r w:rsidR="00344DC4" w:rsidRPr="00C81ED4">
        <w:rPr>
          <w:rFonts w:ascii="Arial" w:hAnsi="Arial" w:cs="Arial"/>
        </w:rPr>
        <w:t> %</w:t>
      </w:r>
      <w:r w:rsidR="005C290E" w:rsidRPr="00C81ED4">
        <w:rPr>
          <w:rFonts w:ascii="Arial" w:hAnsi="Arial" w:cs="Arial"/>
        </w:rPr>
        <w:t xml:space="preserve"> (</w:t>
      </w:r>
      <w:r w:rsidR="00344DC4" w:rsidRPr="00C81ED4">
        <w:rPr>
          <w:rFonts w:ascii="Arial" w:hAnsi="Arial" w:cs="Arial"/>
        </w:rPr>
        <w:t>cf. graphique 2</w:t>
      </w:r>
      <w:r w:rsidR="00F42C00" w:rsidRPr="00C81ED4">
        <w:rPr>
          <w:rFonts w:ascii="Arial" w:hAnsi="Arial" w:cs="Arial"/>
        </w:rPr>
        <w:t>2</w:t>
      </w:r>
      <w:r w:rsidR="00344DC4" w:rsidRPr="00C81ED4">
        <w:rPr>
          <w:rFonts w:ascii="Arial" w:hAnsi="Arial" w:cs="Arial"/>
        </w:rPr>
        <w:t>).</w:t>
      </w:r>
    </w:p>
    <w:p w14:paraId="3A323AC4" w14:textId="77777777" w:rsidR="00DA2009" w:rsidRDefault="00DA2009">
      <w:pPr>
        <w:rPr>
          <w:rFonts w:ascii="Arial" w:hAnsi="Arial" w:cs="Arial"/>
        </w:rPr>
      </w:pPr>
      <w:r>
        <w:rPr>
          <w:rFonts w:ascii="Arial" w:hAnsi="Arial" w:cs="Arial"/>
        </w:rPr>
        <w:br w:type="page"/>
      </w:r>
    </w:p>
    <w:p w14:paraId="0D45601D" w14:textId="2A05C3B8" w:rsidR="00344DC4" w:rsidRDefault="00344DC4" w:rsidP="00CA246E">
      <w:pPr>
        <w:spacing w:after="0" w:line="360" w:lineRule="auto"/>
        <w:jc w:val="center"/>
        <w:rPr>
          <w:rFonts w:ascii="Arial" w:hAnsi="Arial" w:cs="Arial"/>
          <w:b/>
        </w:rPr>
      </w:pPr>
      <w:r w:rsidRPr="005C5343">
        <w:rPr>
          <w:rFonts w:ascii="Arial" w:hAnsi="Arial" w:cs="Arial"/>
        </w:rPr>
        <w:lastRenderedPageBreak/>
        <w:t xml:space="preserve">Graphique </w:t>
      </w:r>
      <w:r>
        <w:rPr>
          <w:rFonts w:ascii="Arial" w:hAnsi="Arial" w:cs="Arial"/>
        </w:rPr>
        <w:t>2</w:t>
      </w:r>
      <w:r w:rsidR="00F42C00">
        <w:rPr>
          <w:rFonts w:ascii="Arial" w:hAnsi="Arial" w:cs="Arial"/>
        </w:rPr>
        <w:t>2</w:t>
      </w:r>
      <w:r w:rsidRPr="005C5343">
        <w:rPr>
          <w:rFonts w:ascii="Arial" w:hAnsi="Arial" w:cs="Arial"/>
        </w:rPr>
        <w:t xml:space="preserve"> – </w:t>
      </w:r>
      <w:r w:rsidRPr="005C5343">
        <w:rPr>
          <w:rFonts w:ascii="Arial" w:hAnsi="Arial" w:cs="Arial"/>
          <w:b/>
        </w:rPr>
        <w:t>Taux de marge opérationnelle corrigé de la rémunération des chefs d’entreprise non salariés</w:t>
      </w:r>
    </w:p>
    <w:p w14:paraId="3984FE98" w14:textId="1E3B2C7B" w:rsidR="00344DC4" w:rsidRDefault="00304362" w:rsidP="00344DC4">
      <w:pPr>
        <w:spacing w:after="60" w:line="240" w:lineRule="auto"/>
        <w:jc w:val="center"/>
        <w:rPr>
          <w:rFonts w:ascii="Arial" w:hAnsi="Arial" w:cs="Arial"/>
        </w:rPr>
      </w:pPr>
      <w:r w:rsidRPr="00304362">
        <w:rPr>
          <w:rFonts w:ascii="Arial" w:hAnsi="Arial" w:cs="Arial"/>
          <w:noProof/>
        </w:rPr>
        <w:drawing>
          <wp:inline distT="0" distB="0" distL="0" distR="0" wp14:anchorId="0ACBF251" wp14:editId="705A5BEE">
            <wp:extent cx="5760720" cy="3064510"/>
            <wp:effectExtent l="0" t="0" r="0" b="2540"/>
            <wp:docPr id="10277376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64510"/>
                    </a:xfrm>
                    <a:prstGeom prst="rect">
                      <a:avLst/>
                    </a:prstGeom>
                    <a:noFill/>
                    <a:ln>
                      <a:noFill/>
                    </a:ln>
                  </pic:spPr>
                </pic:pic>
              </a:graphicData>
            </a:graphic>
          </wp:inline>
        </w:drawing>
      </w:r>
    </w:p>
    <w:p w14:paraId="3E27E0B0" w14:textId="77777777" w:rsidR="00344DC4" w:rsidRDefault="00344DC4" w:rsidP="00344DC4">
      <w:pPr>
        <w:spacing w:after="120" w:line="360" w:lineRule="auto"/>
        <w:jc w:val="center"/>
        <w:rPr>
          <w:rFonts w:ascii="Arial" w:hAnsi="Arial" w:cs="Arial"/>
        </w:rPr>
      </w:pPr>
      <w:r>
        <w:rPr>
          <w:rFonts w:ascii="Arial" w:hAnsi="Arial" w:cs="Arial"/>
          <w:i/>
          <w:sz w:val="20"/>
          <w:szCs w:val="20"/>
        </w:rPr>
        <w:t xml:space="preserve">Source : calculs FFB d’après </w:t>
      </w:r>
      <w:r w:rsidRPr="006D33CA">
        <w:rPr>
          <w:rFonts w:ascii="Arial" w:hAnsi="Arial" w:cs="Arial"/>
          <w:i/>
          <w:sz w:val="20"/>
          <w:szCs w:val="20"/>
        </w:rPr>
        <w:t>Insee</w:t>
      </w:r>
    </w:p>
    <w:p w14:paraId="52007B5F" w14:textId="1A644967" w:rsidR="00CF72EB" w:rsidRPr="00BE0879" w:rsidRDefault="00BE0879" w:rsidP="00CF72EB">
      <w:pPr>
        <w:pStyle w:val="Sansinterligne"/>
        <w:spacing w:after="120" w:line="360" w:lineRule="auto"/>
        <w:jc w:val="both"/>
        <w:rPr>
          <w:rFonts w:ascii="Arial" w:hAnsi="Arial" w:cs="Arial"/>
        </w:rPr>
      </w:pPr>
      <w:r w:rsidRPr="00BE0879">
        <w:rPr>
          <w:rFonts w:ascii="Arial" w:hAnsi="Arial" w:cs="Arial"/>
        </w:rPr>
        <w:t>D</w:t>
      </w:r>
      <w:r w:rsidR="00775549" w:rsidRPr="00BE0879">
        <w:rPr>
          <w:rFonts w:ascii="Arial" w:hAnsi="Arial" w:cs="Arial"/>
        </w:rPr>
        <w:t xml:space="preserve">epuis </w:t>
      </w:r>
      <w:r w:rsidRPr="00BE0879">
        <w:rPr>
          <w:rFonts w:ascii="Arial" w:hAnsi="Arial" w:cs="Arial"/>
        </w:rPr>
        <w:t>début 2024</w:t>
      </w:r>
      <w:r w:rsidR="000D6706" w:rsidRPr="00BE0879">
        <w:rPr>
          <w:rFonts w:ascii="Arial" w:hAnsi="Arial" w:cs="Arial"/>
        </w:rPr>
        <w:t xml:space="preserve">, </w:t>
      </w:r>
      <w:r w:rsidRPr="00BE0879">
        <w:rPr>
          <w:rFonts w:ascii="Arial" w:hAnsi="Arial" w:cs="Arial"/>
        </w:rPr>
        <w:t>les</w:t>
      </w:r>
      <w:r w:rsidR="00035A9F" w:rsidRPr="00BE0879">
        <w:rPr>
          <w:rFonts w:ascii="Arial" w:hAnsi="Arial" w:cs="Arial"/>
        </w:rPr>
        <w:t xml:space="preserve"> </w:t>
      </w:r>
      <w:r w:rsidR="005903B2" w:rsidRPr="00BE0879">
        <w:rPr>
          <w:rFonts w:ascii="Arial" w:hAnsi="Arial" w:cs="Arial"/>
        </w:rPr>
        <w:t xml:space="preserve">prix </w:t>
      </w:r>
      <w:r w:rsidRPr="00BE0879">
        <w:rPr>
          <w:rFonts w:ascii="Arial" w:hAnsi="Arial" w:cs="Arial"/>
        </w:rPr>
        <w:t>d’une majorité de</w:t>
      </w:r>
      <w:r w:rsidR="00035A9F" w:rsidRPr="00BE0879">
        <w:rPr>
          <w:rFonts w:ascii="Arial" w:hAnsi="Arial" w:cs="Arial"/>
        </w:rPr>
        <w:t xml:space="preserve"> </w:t>
      </w:r>
      <w:r w:rsidR="00431675" w:rsidRPr="00BE0879">
        <w:rPr>
          <w:rFonts w:ascii="Arial" w:hAnsi="Arial" w:cs="Arial"/>
        </w:rPr>
        <w:t>matériaux</w:t>
      </w:r>
      <w:r w:rsidR="00B462CB" w:rsidRPr="00BE0879">
        <w:rPr>
          <w:rFonts w:ascii="Arial" w:hAnsi="Arial" w:cs="Arial"/>
        </w:rPr>
        <w:t xml:space="preserve"> utilisés dans la construction</w:t>
      </w:r>
      <w:r w:rsidRPr="00BE0879">
        <w:rPr>
          <w:rFonts w:ascii="Arial" w:hAnsi="Arial" w:cs="Arial"/>
        </w:rPr>
        <w:t xml:space="preserve"> se stabilisent globalement (cf. graphique 23). Seuls ceux des plastiques alvéolaires, </w:t>
      </w:r>
      <w:r w:rsidR="009E1F7A" w:rsidRPr="00BE0879">
        <w:rPr>
          <w:rFonts w:ascii="Arial" w:hAnsi="Arial" w:cs="Arial"/>
        </w:rPr>
        <w:t xml:space="preserve">des demi-produits en aluminium </w:t>
      </w:r>
      <w:r w:rsidR="009E1F7A">
        <w:rPr>
          <w:rFonts w:ascii="Arial" w:hAnsi="Arial" w:cs="Arial"/>
        </w:rPr>
        <w:t xml:space="preserve">et </w:t>
      </w:r>
      <w:r w:rsidRPr="00BE0879">
        <w:rPr>
          <w:rFonts w:ascii="Arial" w:hAnsi="Arial" w:cs="Arial"/>
        </w:rPr>
        <w:t>des demi-produits en cuivre ou alliage progressent légèrement, entre +4,3 % et +8,7 % entre fin janvier et fin juillet 2024.</w:t>
      </w:r>
    </w:p>
    <w:p w14:paraId="37D8BF44" w14:textId="272AE90E" w:rsidR="00E763B5" w:rsidRDefault="00E763B5" w:rsidP="00E763B5">
      <w:pPr>
        <w:pStyle w:val="Sansinterligne"/>
        <w:spacing w:line="360" w:lineRule="auto"/>
        <w:jc w:val="center"/>
        <w:rPr>
          <w:rFonts w:ascii="Arial" w:hAnsi="Arial" w:cs="Arial"/>
          <w:noProof/>
          <w:lang w:eastAsia="fr-FR"/>
        </w:rPr>
      </w:pPr>
      <w:r>
        <w:rPr>
          <w:rFonts w:ascii="Arial" w:hAnsi="Arial" w:cs="Arial"/>
        </w:rPr>
        <w:t xml:space="preserve">Graphique 23 – </w:t>
      </w:r>
      <w:r w:rsidRPr="002533E0">
        <w:rPr>
          <w:rFonts w:ascii="Arial" w:hAnsi="Arial" w:cs="Arial"/>
          <w:b/>
          <w:color w:val="000000" w:themeColor="text1"/>
        </w:rPr>
        <w:t>Indice</w:t>
      </w:r>
      <w:r>
        <w:rPr>
          <w:rFonts w:ascii="Arial" w:hAnsi="Arial" w:cs="Arial"/>
          <w:b/>
          <w:color w:val="000000" w:themeColor="text1"/>
        </w:rPr>
        <w:t>s</w:t>
      </w:r>
      <w:r w:rsidRPr="002533E0">
        <w:rPr>
          <w:rFonts w:ascii="Arial" w:hAnsi="Arial" w:cs="Arial"/>
          <w:b/>
          <w:color w:val="000000" w:themeColor="text1"/>
        </w:rPr>
        <w:t xml:space="preserve"> de prix de production de quelques matériaux industriels</w:t>
      </w:r>
      <w:r w:rsidRPr="00D746D6">
        <w:rPr>
          <w:rFonts w:ascii="Arial" w:hAnsi="Arial" w:cs="Arial"/>
          <w:noProof/>
          <w:lang w:eastAsia="fr-FR"/>
        </w:rPr>
        <w:t xml:space="preserve"> </w:t>
      </w:r>
    </w:p>
    <w:p w14:paraId="2C0448E2" w14:textId="08F4F400" w:rsidR="00A95CE3" w:rsidRPr="006D33CA" w:rsidRDefault="00304362" w:rsidP="00A95CE3">
      <w:pPr>
        <w:pStyle w:val="Sansinterligne"/>
        <w:spacing w:after="120" w:line="360" w:lineRule="auto"/>
        <w:jc w:val="center"/>
        <w:rPr>
          <w:rFonts w:ascii="Arial" w:hAnsi="Arial" w:cs="Arial"/>
          <w:i/>
          <w:sz w:val="20"/>
          <w:szCs w:val="20"/>
        </w:rPr>
      </w:pPr>
      <w:r w:rsidRPr="00304362">
        <w:rPr>
          <w:rFonts w:ascii="Arial" w:hAnsi="Arial" w:cs="Arial"/>
          <w:i/>
          <w:noProof/>
          <w:sz w:val="20"/>
          <w:szCs w:val="20"/>
        </w:rPr>
        <w:drawing>
          <wp:inline distT="0" distB="0" distL="0" distR="0" wp14:anchorId="1D00190F" wp14:editId="46DFB087">
            <wp:extent cx="5760720" cy="2912110"/>
            <wp:effectExtent l="0" t="0" r="0" b="2540"/>
            <wp:docPr id="63362939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912110"/>
                    </a:xfrm>
                    <a:prstGeom prst="rect">
                      <a:avLst/>
                    </a:prstGeom>
                    <a:noFill/>
                    <a:ln>
                      <a:noFill/>
                    </a:ln>
                  </pic:spPr>
                </pic:pic>
              </a:graphicData>
            </a:graphic>
          </wp:inline>
        </w:drawing>
      </w:r>
      <w:r w:rsidR="00A95CE3" w:rsidRPr="006D33CA">
        <w:rPr>
          <w:rFonts w:ascii="Arial" w:hAnsi="Arial" w:cs="Arial"/>
          <w:i/>
          <w:sz w:val="20"/>
          <w:szCs w:val="20"/>
        </w:rPr>
        <w:t xml:space="preserve">Source : </w:t>
      </w:r>
      <w:r w:rsidR="00A95CE3">
        <w:rPr>
          <w:rFonts w:ascii="Arial" w:hAnsi="Arial" w:cs="Arial"/>
          <w:i/>
          <w:sz w:val="20"/>
          <w:szCs w:val="20"/>
        </w:rPr>
        <w:t xml:space="preserve">calculs FFB d’après </w:t>
      </w:r>
      <w:r w:rsidR="00A95CE3" w:rsidRPr="006D33CA">
        <w:rPr>
          <w:rFonts w:ascii="Arial" w:hAnsi="Arial" w:cs="Arial"/>
          <w:i/>
          <w:sz w:val="20"/>
          <w:szCs w:val="20"/>
        </w:rPr>
        <w:t>Insee</w:t>
      </w:r>
    </w:p>
    <w:p w14:paraId="66B610E5" w14:textId="0D89944D" w:rsidR="00780EA5" w:rsidRPr="00780EA5" w:rsidRDefault="00780EA5" w:rsidP="00780EA5">
      <w:pPr>
        <w:spacing w:after="120" w:line="360" w:lineRule="auto"/>
        <w:jc w:val="both"/>
        <w:rPr>
          <w:rFonts w:ascii="Arial" w:hAnsi="Arial" w:cs="Arial"/>
        </w:rPr>
      </w:pPr>
      <w:r>
        <w:rPr>
          <w:rFonts w:ascii="Arial" w:hAnsi="Arial" w:cs="Arial"/>
        </w:rPr>
        <w:lastRenderedPageBreak/>
        <w:t xml:space="preserve">Enfin, </w:t>
      </w:r>
      <w:r w:rsidR="00BE0879">
        <w:rPr>
          <w:rFonts w:ascii="Arial" w:hAnsi="Arial" w:cs="Arial"/>
        </w:rPr>
        <w:t xml:space="preserve">en lien avec ce qui précède, seule </w:t>
      </w:r>
      <w:r>
        <w:rPr>
          <w:rFonts w:ascii="Arial" w:hAnsi="Arial" w:cs="Arial"/>
        </w:rPr>
        <w:t>un</w:t>
      </w:r>
      <w:r w:rsidRPr="00780EA5">
        <w:rPr>
          <w:rFonts w:ascii="Arial" w:hAnsi="Arial" w:cs="Arial"/>
        </w:rPr>
        <w:t xml:space="preserve">e toute petite majorité de chefs d’entreprise de plus de dix salariés interrogés par l’Insee expriment des perspectives de prix bâtiment haussières à fin </w:t>
      </w:r>
      <w:r w:rsidR="00BE0879">
        <w:rPr>
          <w:rFonts w:ascii="Arial" w:hAnsi="Arial" w:cs="Arial"/>
        </w:rPr>
        <w:t>août</w:t>
      </w:r>
      <w:r w:rsidRPr="00780EA5">
        <w:rPr>
          <w:rFonts w:ascii="Arial" w:hAnsi="Arial" w:cs="Arial"/>
        </w:rPr>
        <w:t xml:space="preserve"> 2024 (cf. graphique </w:t>
      </w:r>
      <w:r w:rsidR="00BE0879">
        <w:rPr>
          <w:rFonts w:ascii="Arial" w:hAnsi="Arial" w:cs="Arial"/>
        </w:rPr>
        <w:t>24</w:t>
      </w:r>
      <w:r w:rsidRPr="00780EA5">
        <w:rPr>
          <w:rFonts w:ascii="Arial" w:hAnsi="Arial" w:cs="Arial"/>
        </w:rPr>
        <w:t xml:space="preserve">). </w:t>
      </w:r>
    </w:p>
    <w:p w14:paraId="17AB9762" w14:textId="06C7B65A" w:rsidR="00946690" w:rsidRPr="002F1C8C" w:rsidRDefault="00B80265" w:rsidP="00946690">
      <w:pPr>
        <w:spacing w:after="0" w:line="360" w:lineRule="auto"/>
        <w:jc w:val="center"/>
        <w:rPr>
          <w:rFonts w:ascii="Arial" w:hAnsi="Arial" w:cs="Arial"/>
        </w:rPr>
      </w:pPr>
      <w:r>
        <w:rPr>
          <w:rFonts w:ascii="Arial" w:hAnsi="Arial" w:cs="Arial"/>
        </w:rPr>
        <w:t>G</w:t>
      </w:r>
      <w:r w:rsidR="00946690" w:rsidRPr="002F1C8C">
        <w:rPr>
          <w:rFonts w:ascii="Arial" w:hAnsi="Arial" w:cs="Arial"/>
        </w:rPr>
        <w:t xml:space="preserve">raphique </w:t>
      </w:r>
      <w:r w:rsidR="00946690">
        <w:rPr>
          <w:rFonts w:ascii="Arial" w:hAnsi="Arial" w:cs="Arial"/>
        </w:rPr>
        <w:t>2</w:t>
      </w:r>
      <w:r w:rsidR="00F42C00">
        <w:rPr>
          <w:rFonts w:ascii="Arial" w:hAnsi="Arial" w:cs="Arial"/>
        </w:rPr>
        <w:t>4</w:t>
      </w:r>
      <w:r w:rsidR="00946690" w:rsidRPr="002F1C8C">
        <w:rPr>
          <w:rFonts w:ascii="Arial" w:hAnsi="Arial" w:cs="Arial"/>
        </w:rPr>
        <w:t xml:space="preserve"> – </w:t>
      </w:r>
      <w:r w:rsidR="00946690" w:rsidRPr="002F1C8C">
        <w:rPr>
          <w:rFonts w:ascii="Arial" w:hAnsi="Arial" w:cs="Arial"/>
          <w:b/>
        </w:rPr>
        <w:t>Opinions des chefs d’entreprise de plus de dix salariés sur les perspectives de prix dans le bâtiment</w:t>
      </w:r>
    </w:p>
    <w:p w14:paraId="2CDB4E7D" w14:textId="765BD873" w:rsidR="00946690" w:rsidRDefault="00304362" w:rsidP="00675802">
      <w:pPr>
        <w:spacing w:after="60" w:line="240" w:lineRule="auto"/>
        <w:jc w:val="center"/>
        <w:rPr>
          <w:rFonts w:ascii="Arial" w:hAnsi="Arial" w:cs="Arial"/>
        </w:rPr>
      </w:pPr>
      <w:r w:rsidRPr="00304362">
        <w:rPr>
          <w:rFonts w:ascii="Arial" w:hAnsi="Arial" w:cs="Arial"/>
          <w:noProof/>
        </w:rPr>
        <w:drawing>
          <wp:inline distT="0" distB="0" distL="0" distR="0" wp14:anchorId="0ED90E45" wp14:editId="7F6A0D6C">
            <wp:extent cx="5760720" cy="3054985"/>
            <wp:effectExtent l="0" t="0" r="0" b="0"/>
            <wp:docPr id="8848299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054985"/>
                    </a:xfrm>
                    <a:prstGeom prst="rect">
                      <a:avLst/>
                    </a:prstGeom>
                    <a:noFill/>
                    <a:ln>
                      <a:noFill/>
                    </a:ln>
                  </pic:spPr>
                </pic:pic>
              </a:graphicData>
            </a:graphic>
          </wp:inline>
        </w:drawing>
      </w:r>
    </w:p>
    <w:p w14:paraId="2537D530" w14:textId="2129494E" w:rsidR="00C32F01" w:rsidRPr="009364C9" w:rsidRDefault="00946690" w:rsidP="00CD48ED">
      <w:pPr>
        <w:spacing w:after="120" w:line="360" w:lineRule="auto"/>
        <w:jc w:val="center"/>
        <w:rPr>
          <w:rFonts w:ascii="Arial" w:hAnsi="Arial" w:cs="Arial"/>
        </w:rPr>
      </w:pPr>
      <w:r w:rsidRPr="000965EA">
        <w:rPr>
          <w:rFonts w:ascii="Arial" w:hAnsi="Arial" w:cs="Arial"/>
          <w:i/>
          <w:sz w:val="20"/>
          <w:szCs w:val="20"/>
        </w:rPr>
        <w:t xml:space="preserve">Source : </w:t>
      </w:r>
      <w:r w:rsidR="0094159A">
        <w:rPr>
          <w:rFonts w:ascii="Arial" w:hAnsi="Arial" w:cs="Arial"/>
          <w:i/>
          <w:sz w:val="20"/>
          <w:szCs w:val="20"/>
        </w:rPr>
        <w:t xml:space="preserve">calculs FFB d’après </w:t>
      </w:r>
      <w:r w:rsidRPr="000965EA">
        <w:rPr>
          <w:rFonts w:ascii="Arial" w:hAnsi="Arial" w:cs="Arial"/>
          <w:i/>
          <w:sz w:val="20"/>
          <w:szCs w:val="20"/>
        </w:rPr>
        <w:t>Insee</w:t>
      </w:r>
      <w:r w:rsidRPr="00782414">
        <w:rPr>
          <w:rFonts w:ascii="Arial" w:hAnsi="Arial" w:cs="Arial"/>
        </w:rPr>
        <w:t xml:space="preserve"> </w:t>
      </w:r>
    </w:p>
    <w:sectPr w:rsidR="00C32F01" w:rsidRPr="009364C9" w:rsidSect="000401B3">
      <w:footerReference w:type="default" r:id="rId39"/>
      <w:headerReference w:type="first" r:id="rId40"/>
      <w:footerReference w:type="firs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3B09E" w14:textId="77777777" w:rsidR="00D810F0" w:rsidRDefault="00D810F0" w:rsidP="005C55E7">
      <w:pPr>
        <w:spacing w:after="0" w:line="240" w:lineRule="auto"/>
      </w:pPr>
      <w:r>
        <w:separator/>
      </w:r>
    </w:p>
  </w:endnote>
  <w:endnote w:type="continuationSeparator" w:id="0">
    <w:p w14:paraId="37053E7D" w14:textId="77777777" w:rsidR="00D810F0" w:rsidRDefault="00D810F0" w:rsidP="005C55E7">
      <w:pPr>
        <w:spacing w:after="0" w:line="240" w:lineRule="auto"/>
      </w:pPr>
      <w:r>
        <w:continuationSeparator/>
      </w:r>
    </w:p>
  </w:endnote>
  <w:endnote w:type="continuationNotice" w:id="1">
    <w:p w14:paraId="7982D891" w14:textId="77777777" w:rsidR="00D810F0" w:rsidRDefault="00D810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ystem">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419292121"/>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6E649E43" w14:textId="6E5A747A" w:rsidR="00311269" w:rsidRPr="00AB50FB" w:rsidRDefault="00311269">
            <w:pPr>
              <w:pStyle w:val="Pieddepage"/>
              <w:jc w:val="center"/>
              <w:rPr>
                <w:rFonts w:ascii="Arial" w:hAnsi="Arial" w:cs="Arial"/>
              </w:rPr>
            </w:pPr>
            <w:r w:rsidRPr="00AB50FB">
              <w:rPr>
                <w:rFonts w:ascii="Arial" w:hAnsi="Arial" w:cs="Arial"/>
                <w:bCs/>
              </w:rPr>
              <w:fldChar w:fldCharType="begin"/>
            </w:r>
            <w:r w:rsidRPr="00AB50FB">
              <w:rPr>
                <w:rFonts w:ascii="Arial" w:hAnsi="Arial" w:cs="Arial"/>
                <w:bCs/>
              </w:rPr>
              <w:instrText>PAGE</w:instrText>
            </w:r>
            <w:r w:rsidRPr="00AB50FB">
              <w:rPr>
                <w:rFonts w:ascii="Arial" w:hAnsi="Arial" w:cs="Arial"/>
                <w:bCs/>
              </w:rPr>
              <w:fldChar w:fldCharType="separate"/>
            </w:r>
            <w:r w:rsidR="003B1FAA">
              <w:rPr>
                <w:rFonts w:ascii="Arial" w:hAnsi="Arial" w:cs="Arial"/>
                <w:bCs/>
                <w:noProof/>
              </w:rPr>
              <w:t>2</w:t>
            </w:r>
            <w:r w:rsidRPr="00AB50FB">
              <w:rPr>
                <w:rFonts w:ascii="Arial" w:hAnsi="Arial" w:cs="Arial"/>
                <w:bCs/>
              </w:rPr>
              <w:fldChar w:fldCharType="end"/>
            </w:r>
            <w:r w:rsidRPr="00AB50FB">
              <w:rPr>
                <w:rFonts w:ascii="Arial" w:hAnsi="Arial" w:cs="Arial"/>
                <w:bCs/>
              </w:rPr>
              <w:t>/</w:t>
            </w:r>
            <w:r w:rsidRPr="00AB50FB">
              <w:rPr>
                <w:rFonts w:ascii="Arial" w:hAnsi="Arial" w:cs="Arial"/>
                <w:bCs/>
              </w:rPr>
              <w:fldChar w:fldCharType="begin"/>
            </w:r>
            <w:r w:rsidRPr="00AB50FB">
              <w:rPr>
                <w:rFonts w:ascii="Arial" w:hAnsi="Arial" w:cs="Arial"/>
                <w:bCs/>
              </w:rPr>
              <w:instrText>NUMPAGES</w:instrText>
            </w:r>
            <w:r w:rsidRPr="00AB50FB">
              <w:rPr>
                <w:rFonts w:ascii="Arial" w:hAnsi="Arial" w:cs="Arial"/>
                <w:bCs/>
              </w:rPr>
              <w:fldChar w:fldCharType="separate"/>
            </w:r>
            <w:r w:rsidR="003B1FAA">
              <w:rPr>
                <w:rFonts w:ascii="Arial" w:hAnsi="Arial" w:cs="Arial"/>
                <w:bCs/>
                <w:noProof/>
              </w:rPr>
              <w:t>23</w:t>
            </w:r>
            <w:r w:rsidRPr="00AB50FB">
              <w:rPr>
                <w:rFonts w:ascii="Arial" w:hAnsi="Arial" w:cs="Arial"/>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7791"/>
    </w:tblGrid>
    <w:tr w:rsidR="00311269" w:rsidRPr="00FF2A70" w14:paraId="6809DE7C" w14:textId="77777777" w:rsidTr="004C5ADD">
      <w:tc>
        <w:tcPr>
          <w:tcW w:w="999" w:type="dxa"/>
        </w:tcPr>
        <w:p w14:paraId="5DEB9FB4" w14:textId="77777777" w:rsidR="00311269" w:rsidRPr="00FF2A70" w:rsidRDefault="00311269" w:rsidP="00FF2A70">
          <w:pPr>
            <w:rPr>
              <w:rFonts w:ascii="Calibri" w:eastAsia="Calibri" w:hAnsi="Calibri" w:cs="Times New Roman"/>
            </w:rPr>
          </w:pPr>
          <w:r w:rsidRPr="00FF2A70">
            <w:rPr>
              <w:rFonts w:ascii="System" w:eastAsia="Calibri" w:hAnsi="System" w:cs="Arial"/>
              <w:b/>
              <w:noProof/>
              <w:lang w:eastAsia="fr-FR"/>
            </w:rPr>
            <w:drawing>
              <wp:inline distT="0" distB="0" distL="0" distR="0" wp14:anchorId="5DA92392" wp14:editId="2BC84493">
                <wp:extent cx="497713" cy="468000"/>
                <wp:effectExtent l="0" t="0" r="0" b="8255"/>
                <wp:docPr id="26" name="Image 26" descr="Afaq_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Afaq_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713" cy="468000"/>
                        </a:xfrm>
                        <a:prstGeom prst="rect">
                          <a:avLst/>
                        </a:prstGeom>
                        <a:noFill/>
                        <a:ln>
                          <a:noFill/>
                        </a:ln>
                      </pic:spPr>
                    </pic:pic>
                  </a:graphicData>
                </a:graphic>
              </wp:inline>
            </w:drawing>
          </w:r>
        </w:p>
      </w:tc>
      <w:tc>
        <w:tcPr>
          <w:tcW w:w="7791" w:type="dxa"/>
        </w:tcPr>
        <w:p w14:paraId="335A94BB"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FEDERATION FRANCAISE DU BATIMENT</w:t>
          </w:r>
        </w:p>
        <w:p w14:paraId="3508A9B1"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33 avenue Kléber</w:t>
          </w:r>
        </w:p>
        <w:p w14:paraId="2862CA63" w14:textId="77777777" w:rsidR="00311269" w:rsidRPr="00FF2A70" w:rsidRDefault="00311269" w:rsidP="00FF2A70">
          <w:pPr>
            <w:widowControl w:val="0"/>
            <w:overflowPunct w:val="0"/>
            <w:autoSpaceDE w:val="0"/>
            <w:autoSpaceDN w:val="0"/>
            <w:adjustRightInd w:val="0"/>
            <w:rPr>
              <w:rFonts w:ascii="Arial" w:eastAsia="Times New Roman" w:hAnsi="Arial" w:cs="Times New Roman"/>
              <w:b/>
              <w:sz w:val="16"/>
              <w:szCs w:val="16"/>
              <w:lang w:eastAsia="fr-FR"/>
            </w:rPr>
          </w:pPr>
          <w:r w:rsidRPr="00FF2A70">
            <w:rPr>
              <w:rFonts w:ascii="Arial" w:eastAsia="Times New Roman" w:hAnsi="Arial" w:cs="Times New Roman"/>
              <w:b/>
              <w:sz w:val="16"/>
              <w:szCs w:val="16"/>
              <w:lang w:eastAsia="fr-FR"/>
            </w:rPr>
            <w:t>75784 PARIS Cedex 16</w:t>
          </w:r>
        </w:p>
        <w:p w14:paraId="70FAFEB2" w14:textId="3AD38757" w:rsidR="00311269" w:rsidRPr="00FF2A70" w:rsidRDefault="00311269" w:rsidP="00FF2A70">
          <w:pPr>
            <w:rPr>
              <w:rFonts w:ascii="Calibri" w:eastAsia="Calibri" w:hAnsi="Calibri" w:cs="Times New Roman"/>
            </w:rPr>
          </w:pPr>
          <w:r w:rsidRPr="00FF2A70">
            <w:rPr>
              <w:rFonts w:ascii="Arial" w:eastAsia="Times New Roman" w:hAnsi="Arial" w:cs="Times New Roman"/>
              <w:b/>
              <w:sz w:val="16"/>
              <w:szCs w:val="16"/>
              <w:lang w:eastAsia="fr-FR"/>
            </w:rPr>
            <w:t>Téléphone : 01 40 69 51 00</w:t>
          </w:r>
        </w:p>
      </w:tc>
    </w:tr>
  </w:tbl>
  <w:p w14:paraId="2F89F620" w14:textId="77777777" w:rsidR="00311269" w:rsidRPr="004C5ADD" w:rsidRDefault="00311269" w:rsidP="00A110EC">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BABDB" w14:textId="77777777" w:rsidR="00D810F0" w:rsidRDefault="00D810F0" w:rsidP="005C55E7">
      <w:pPr>
        <w:spacing w:after="0" w:line="240" w:lineRule="auto"/>
      </w:pPr>
      <w:r>
        <w:separator/>
      </w:r>
    </w:p>
  </w:footnote>
  <w:footnote w:type="continuationSeparator" w:id="0">
    <w:p w14:paraId="65C7F739" w14:textId="77777777" w:rsidR="00D810F0" w:rsidRDefault="00D810F0" w:rsidP="005C55E7">
      <w:pPr>
        <w:spacing w:after="0" w:line="240" w:lineRule="auto"/>
      </w:pPr>
      <w:r>
        <w:continuationSeparator/>
      </w:r>
    </w:p>
  </w:footnote>
  <w:footnote w:type="continuationNotice" w:id="1">
    <w:p w14:paraId="7545D692" w14:textId="77777777" w:rsidR="00D810F0" w:rsidRDefault="00D810F0">
      <w:pPr>
        <w:spacing w:after="0" w:line="240" w:lineRule="auto"/>
      </w:pPr>
    </w:p>
  </w:footnote>
  <w:footnote w:id="2">
    <w:p w14:paraId="52CC07AB" w14:textId="77777777" w:rsidR="00311269" w:rsidRPr="00E35EE1" w:rsidRDefault="00311269" w:rsidP="00644165">
      <w:pPr>
        <w:pStyle w:val="Notedebasdepage"/>
        <w:ind w:left="142" w:hanging="142"/>
        <w:jc w:val="both"/>
        <w:rPr>
          <w:rFonts w:ascii="Arial" w:hAnsi="Arial" w:cs="Arial"/>
        </w:rPr>
      </w:pPr>
      <w:r w:rsidRPr="00E35EE1">
        <w:rPr>
          <w:rStyle w:val="Appelnotedebasdep"/>
          <w:rFonts w:ascii="Arial" w:hAnsi="Arial" w:cs="Arial"/>
        </w:rPr>
        <w:footnoteRef/>
      </w:r>
      <w:r>
        <w:rPr>
          <w:rFonts w:ascii="Arial" w:hAnsi="Arial" w:cs="Arial"/>
        </w:rPr>
        <w:t xml:space="preserve"> </w:t>
      </w:r>
      <w:r w:rsidRPr="00E35EE1">
        <w:rPr>
          <w:rFonts w:ascii="Arial" w:hAnsi="Arial" w:cs="Arial"/>
        </w:rPr>
        <w:t>En nombre de logements en date réelle estimée (DRE), y compris construction sur existant, en France entière.</w:t>
      </w:r>
    </w:p>
  </w:footnote>
  <w:footnote w:id="3">
    <w:p w14:paraId="67047753" w14:textId="77777777" w:rsidR="00E84D91" w:rsidRPr="00113ECF" w:rsidRDefault="00E84D91" w:rsidP="00E84D91">
      <w:pPr>
        <w:pStyle w:val="Notedebasdepage"/>
        <w:jc w:val="both"/>
        <w:rPr>
          <w:rFonts w:ascii="Arial" w:hAnsi="Arial" w:cs="Arial"/>
        </w:rPr>
      </w:pPr>
      <w:r w:rsidRPr="00113ECF">
        <w:rPr>
          <w:rStyle w:val="Appelnotedebasdep"/>
          <w:rFonts w:ascii="Arial" w:hAnsi="Arial" w:cs="Arial"/>
        </w:rPr>
        <w:footnoteRef/>
      </w:r>
      <w:r w:rsidRPr="00113ECF">
        <w:rPr>
          <w:rFonts w:ascii="Arial" w:hAnsi="Arial" w:cs="Arial"/>
        </w:rPr>
        <w:t xml:space="preserve"> Aux seuls particuliers.</w:t>
      </w:r>
    </w:p>
  </w:footnote>
  <w:footnote w:id="4">
    <w:p w14:paraId="24DD7C4C" w14:textId="7A2B8679" w:rsidR="00311269" w:rsidRPr="004954B7" w:rsidRDefault="00311269" w:rsidP="00BF4A51">
      <w:pPr>
        <w:pStyle w:val="Notedebasdepage"/>
        <w:ind w:left="142" w:hanging="142"/>
        <w:jc w:val="both"/>
        <w:rPr>
          <w:rFonts w:ascii="Arial" w:hAnsi="Arial" w:cs="Arial"/>
        </w:rPr>
      </w:pPr>
      <w:r w:rsidRPr="004954B7">
        <w:rPr>
          <w:rStyle w:val="Appelnotedebasdep"/>
          <w:rFonts w:ascii="Arial" w:hAnsi="Arial" w:cs="Arial"/>
        </w:rPr>
        <w:footnoteRef/>
      </w:r>
      <w:r w:rsidRPr="004954B7">
        <w:rPr>
          <w:rFonts w:ascii="Arial" w:hAnsi="Arial" w:cs="Arial"/>
        </w:rPr>
        <w:t xml:space="preserve"> Ce segment reste</w:t>
      </w:r>
      <w:r>
        <w:rPr>
          <w:rFonts w:ascii="Arial" w:hAnsi="Arial" w:cs="Arial"/>
        </w:rPr>
        <w:t>,</w:t>
      </w:r>
      <w:r w:rsidRPr="004954B7">
        <w:rPr>
          <w:rFonts w:ascii="Arial" w:hAnsi="Arial" w:cs="Arial"/>
        </w:rPr>
        <w:t xml:space="preserve"> pour l'heure</w:t>
      </w:r>
      <w:r>
        <w:rPr>
          <w:rFonts w:ascii="Arial" w:hAnsi="Arial" w:cs="Arial"/>
        </w:rPr>
        <w:t>, exprimé en date de prise en compte (DPC). Les données ressortent telles qu’enregistrées dans le système informatique, et non estimées à l’aide de modèles économétriques comme pour le logement.</w:t>
      </w:r>
    </w:p>
  </w:footnote>
  <w:footnote w:id="5">
    <w:p w14:paraId="4B2A73B7" w14:textId="3F84CE74" w:rsidR="00311269" w:rsidRPr="00AB302B" w:rsidRDefault="00311269" w:rsidP="00BF4A51">
      <w:pPr>
        <w:pStyle w:val="Notedebasdepage"/>
        <w:ind w:left="142" w:hanging="142"/>
        <w:jc w:val="both"/>
        <w:rPr>
          <w:rFonts w:ascii="Arial" w:hAnsi="Arial" w:cs="Arial"/>
        </w:rPr>
      </w:pPr>
      <w:r w:rsidRPr="00AB302B">
        <w:rPr>
          <w:rStyle w:val="Appelnotedebasdep"/>
          <w:rFonts w:ascii="Arial" w:hAnsi="Arial" w:cs="Arial"/>
        </w:rPr>
        <w:footnoteRef/>
      </w:r>
      <w:r>
        <w:rPr>
          <w:rFonts w:ascii="Arial" w:hAnsi="Arial" w:cs="Arial"/>
        </w:rPr>
        <w:tab/>
      </w:r>
      <w:r w:rsidRPr="00AB302B">
        <w:rPr>
          <w:rFonts w:ascii="Arial" w:hAnsi="Arial" w:cs="Arial"/>
        </w:rPr>
        <w:t xml:space="preserve">En </w:t>
      </w:r>
      <w:r>
        <w:rPr>
          <w:rFonts w:ascii="Arial" w:hAnsi="Arial" w:cs="Arial"/>
        </w:rPr>
        <w:t>m² de surface de plancher e</w:t>
      </w:r>
      <w:r w:rsidRPr="00AB302B">
        <w:rPr>
          <w:rFonts w:ascii="Arial" w:hAnsi="Arial" w:cs="Arial"/>
        </w:rPr>
        <w:t>n D</w:t>
      </w:r>
      <w:r>
        <w:rPr>
          <w:rFonts w:ascii="Arial" w:hAnsi="Arial" w:cs="Arial"/>
        </w:rPr>
        <w:t>PC</w:t>
      </w:r>
      <w:r w:rsidRPr="00AB302B">
        <w:rPr>
          <w:rFonts w:ascii="Arial" w:hAnsi="Arial" w:cs="Arial"/>
        </w:rPr>
        <w:t>, y compris construction sur existant, en France entière.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50D53" w14:textId="7BC14665" w:rsidR="00311269" w:rsidRPr="00FF2A70" w:rsidRDefault="00311269" w:rsidP="00373011">
    <w:pPr>
      <w:tabs>
        <w:tab w:val="center" w:pos="4536"/>
        <w:tab w:val="right" w:pos="8647"/>
      </w:tabs>
      <w:spacing w:after="0" w:line="240" w:lineRule="auto"/>
      <w:jc w:val="both"/>
      <w:rPr>
        <w:rFonts w:ascii="Calibri" w:eastAsia="Calibri" w:hAnsi="Calibri" w:cs="Times New Roman"/>
      </w:rPr>
    </w:pPr>
    <w:r w:rsidRPr="00FF2A70">
      <w:rPr>
        <w:rFonts w:ascii="Calibri" w:eastAsia="Calibri" w:hAnsi="Calibri" w:cs="Arial"/>
        <w:noProof/>
        <w:lang w:eastAsia="fr-FR"/>
      </w:rPr>
      <w:drawing>
        <wp:inline distT="0" distB="0" distL="0" distR="0" wp14:anchorId="67EC40F2" wp14:editId="074C7081">
          <wp:extent cx="1541360" cy="648000"/>
          <wp:effectExtent l="0" t="0" r="1905" b="0"/>
          <wp:docPr id="24" name="Image 24" descr="logof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ff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360" cy="648000"/>
                  </a:xfrm>
                  <a:prstGeom prst="rect">
                    <a:avLst/>
                  </a:prstGeom>
                  <a:noFill/>
                  <a:ln>
                    <a:noFill/>
                  </a:ln>
                </pic:spPr>
              </pic:pic>
            </a:graphicData>
          </a:graphic>
        </wp:inline>
      </w:drawing>
    </w:r>
    <w:r>
      <w:rPr>
        <w:rFonts w:ascii="Arial" w:eastAsia="Times New Roman" w:hAnsi="Arial" w:cs="Arial"/>
        <w:lang w:eastAsia="fr-FR"/>
      </w:rPr>
      <w:tab/>
    </w:r>
    <w:r>
      <w:rPr>
        <w:rFonts w:ascii="Arial" w:eastAsia="Times New Roman" w:hAnsi="Arial" w:cs="Arial"/>
        <w:lang w:eastAsia="fr-FR"/>
      </w:rPr>
      <w:tab/>
    </w:r>
    <w:r w:rsidRPr="00FF2A70">
      <w:rPr>
        <w:rFonts w:ascii="Arial" w:eastAsia="Times New Roman" w:hAnsi="Arial" w:cs="Arial"/>
        <w:lang w:eastAsia="fr-FR"/>
      </w:rPr>
      <w:t xml:space="preserve">Paris, </w:t>
    </w:r>
    <w:r w:rsidR="009253CC">
      <w:rPr>
        <w:rFonts w:ascii="Arial" w:eastAsia="Times New Roman" w:hAnsi="Arial" w:cs="Arial"/>
        <w:lang w:eastAsia="fr-FR"/>
      </w:rPr>
      <w:t>1</w:t>
    </w:r>
    <w:r w:rsidR="00C56245">
      <w:rPr>
        <w:rFonts w:ascii="Arial" w:eastAsia="Times New Roman" w:hAnsi="Arial" w:cs="Arial"/>
        <w:lang w:eastAsia="fr-FR"/>
      </w:rPr>
      <w:t>7</w:t>
    </w:r>
    <w:r w:rsidR="00374E75">
      <w:rPr>
        <w:rFonts w:ascii="Arial" w:eastAsia="Times New Roman" w:hAnsi="Arial" w:cs="Arial"/>
        <w:lang w:eastAsia="fr-FR"/>
      </w:rPr>
      <w:t xml:space="preserve"> </w:t>
    </w:r>
    <w:r w:rsidR="009253CC">
      <w:rPr>
        <w:rFonts w:ascii="Arial" w:eastAsia="Times New Roman" w:hAnsi="Arial" w:cs="Arial"/>
        <w:lang w:eastAsia="fr-FR"/>
      </w:rPr>
      <w:t>septembre</w:t>
    </w:r>
    <w:r>
      <w:rPr>
        <w:rFonts w:ascii="Arial" w:eastAsia="Times New Roman" w:hAnsi="Arial" w:cs="Arial"/>
        <w:lang w:eastAsia="fr-FR"/>
      </w:rPr>
      <w:t xml:space="preserve"> 202</w:t>
    </w:r>
    <w:r w:rsidR="004B618D">
      <w:rPr>
        <w:rFonts w:ascii="Arial" w:eastAsia="Times New Roman" w:hAnsi="Arial" w:cs="Arial"/>
        <w:lang w:eastAsia="fr-FR"/>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0E0A"/>
    <w:multiLevelType w:val="hybridMultilevel"/>
    <w:tmpl w:val="69D6BEE0"/>
    <w:lvl w:ilvl="0" w:tplc="E51A987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65136"/>
    <w:multiLevelType w:val="hybridMultilevel"/>
    <w:tmpl w:val="8F08A2E2"/>
    <w:lvl w:ilvl="0" w:tplc="5BB45C7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D352B2"/>
    <w:multiLevelType w:val="hybridMultilevel"/>
    <w:tmpl w:val="6F8E27C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872915"/>
    <w:multiLevelType w:val="hybridMultilevel"/>
    <w:tmpl w:val="F118C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691EDF"/>
    <w:multiLevelType w:val="hybridMultilevel"/>
    <w:tmpl w:val="1F94EF1A"/>
    <w:lvl w:ilvl="0" w:tplc="4400241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15:restartNumberingAfterBreak="0">
    <w:nsid w:val="0CB5397F"/>
    <w:multiLevelType w:val="hybridMultilevel"/>
    <w:tmpl w:val="C778D37C"/>
    <w:lvl w:ilvl="0" w:tplc="1B9469BC">
      <w:numFmt w:val="bullet"/>
      <w:lvlText w:val="-"/>
      <w:lvlJc w:val="left"/>
      <w:pPr>
        <w:ind w:left="420" w:hanging="360"/>
      </w:pPr>
      <w:rPr>
        <w:rFonts w:ascii="Arial" w:eastAsia="Calibri"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6" w15:restartNumberingAfterBreak="0">
    <w:nsid w:val="0E853C8E"/>
    <w:multiLevelType w:val="hybridMultilevel"/>
    <w:tmpl w:val="C7DE0544"/>
    <w:lvl w:ilvl="0" w:tplc="F168E93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0D414E"/>
    <w:multiLevelType w:val="hybridMultilevel"/>
    <w:tmpl w:val="F06A9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7A3216"/>
    <w:multiLevelType w:val="hybridMultilevel"/>
    <w:tmpl w:val="93CC9CE8"/>
    <w:lvl w:ilvl="0" w:tplc="CB0055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7F21C0"/>
    <w:multiLevelType w:val="hybridMultilevel"/>
    <w:tmpl w:val="ECD2C416"/>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96C63"/>
    <w:multiLevelType w:val="hybridMultilevel"/>
    <w:tmpl w:val="2BC4670C"/>
    <w:lvl w:ilvl="0" w:tplc="956AA6A8">
      <w:start w:val="1"/>
      <w:numFmt w:val="upperRoman"/>
      <w:lvlText w:val="%1."/>
      <w:lvlJc w:val="righ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4048B1"/>
    <w:multiLevelType w:val="hybridMultilevel"/>
    <w:tmpl w:val="850ED2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464575"/>
    <w:multiLevelType w:val="hybridMultilevel"/>
    <w:tmpl w:val="EEB889AA"/>
    <w:lvl w:ilvl="0" w:tplc="AFC6E7A0">
      <w:start w:val="2"/>
      <w:numFmt w:val="bullet"/>
      <w:lvlText w:val="-"/>
      <w:lvlJc w:val="left"/>
      <w:pPr>
        <w:ind w:left="720" w:hanging="360"/>
      </w:pPr>
      <w:rPr>
        <w:rFonts w:ascii="Arial" w:eastAsiaTheme="minorHAns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0C416D"/>
    <w:multiLevelType w:val="hybridMultilevel"/>
    <w:tmpl w:val="2CB8FD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1F69DE"/>
    <w:multiLevelType w:val="hybridMultilevel"/>
    <w:tmpl w:val="9086DDB6"/>
    <w:lvl w:ilvl="0" w:tplc="06BCA52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B4333A"/>
    <w:multiLevelType w:val="hybridMultilevel"/>
    <w:tmpl w:val="F1086FC6"/>
    <w:lvl w:ilvl="0" w:tplc="72F6E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E14C07"/>
    <w:multiLevelType w:val="hybridMultilevel"/>
    <w:tmpl w:val="B010D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6E7DEB"/>
    <w:multiLevelType w:val="hybridMultilevel"/>
    <w:tmpl w:val="DB7A796C"/>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EA0307"/>
    <w:multiLevelType w:val="hybridMultilevel"/>
    <w:tmpl w:val="5A780352"/>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474376"/>
    <w:multiLevelType w:val="hybridMultilevel"/>
    <w:tmpl w:val="AF7A51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E713F0"/>
    <w:multiLevelType w:val="hybridMultilevel"/>
    <w:tmpl w:val="0874CD56"/>
    <w:lvl w:ilvl="0" w:tplc="0FE6472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125666"/>
    <w:multiLevelType w:val="hybridMultilevel"/>
    <w:tmpl w:val="F5C41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0C610F"/>
    <w:multiLevelType w:val="hybridMultilevel"/>
    <w:tmpl w:val="7EA60440"/>
    <w:lvl w:ilvl="0" w:tplc="63947C1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0669E0"/>
    <w:multiLevelType w:val="hybridMultilevel"/>
    <w:tmpl w:val="C322AB92"/>
    <w:lvl w:ilvl="0" w:tplc="06BCA522">
      <w:numFmt w:val="bullet"/>
      <w:lvlText w:val="-"/>
      <w:lvlJc w:val="left"/>
      <w:pPr>
        <w:ind w:left="780" w:hanging="360"/>
      </w:pPr>
      <w:rPr>
        <w:rFonts w:ascii="Arial" w:eastAsia="Calibri"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60A1456B"/>
    <w:multiLevelType w:val="hybridMultilevel"/>
    <w:tmpl w:val="9FBEAC02"/>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BC0EA5"/>
    <w:multiLevelType w:val="hybridMultilevel"/>
    <w:tmpl w:val="E188D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44179F"/>
    <w:multiLevelType w:val="hybridMultilevel"/>
    <w:tmpl w:val="CD1667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406A37"/>
    <w:multiLevelType w:val="hybridMultilevel"/>
    <w:tmpl w:val="2188B1E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7C1091"/>
    <w:multiLevelType w:val="hybridMultilevel"/>
    <w:tmpl w:val="64BAC2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9965A5"/>
    <w:multiLevelType w:val="hybridMultilevel"/>
    <w:tmpl w:val="7CAC340A"/>
    <w:lvl w:ilvl="0" w:tplc="DD26B608">
      <w:start w:val="1"/>
      <w:numFmt w:val="bullet"/>
      <w:lvlText w:val="•"/>
      <w:lvlJc w:val="left"/>
      <w:pPr>
        <w:tabs>
          <w:tab w:val="num" w:pos="720"/>
        </w:tabs>
        <w:ind w:left="720" w:hanging="360"/>
      </w:pPr>
      <w:rPr>
        <w:rFonts w:ascii="Arial" w:hAnsi="Arial" w:hint="default"/>
      </w:rPr>
    </w:lvl>
    <w:lvl w:ilvl="1" w:tplc="C0E25896" w:tentative="1">
      <w:start w:val="1"/>
      <w:numFmt w:val="bullet"/>
      <w:lvlText w:val="•"/>
      <w:lvlJc w:val="left"/>
      <w:pPr>
        <w:tabs>
          <w:tab w:val="num" w:pos="1440"/>
        </w:tabs>
        <w:ind w:left="1440" w:hanging="360"/>
      </w:pPr>
      <w:rPr>
        <w:rFonts w:ascii="Arial" w:hAnsi="Arial" w:hint="default"/>
      </w:rPr>
    </w:lvl>
    <w:lvl w:ilvl="2" w:tplc="F25AF040" w:tentative="1">
      <w:start w:val="1"/>
      <w:numFmt w:val="bullet"/>
      <w:lvlText w:val="•"/>
      <w:lvlJc w:val="left"/>
      <w:pPr>
        <w:tabs>
          <w:tab w:val="num" w:pos="2160"/>
        </w:tabs>
        <w:ind w:left="2160" w:hanging="360"/>
      </w:pPr>
      <w:rPr>
        <w:rFonts w:ascii="Arial" w:hAnsi="Arial" w:hint="default"/>
      </w:rPr>
    </w:lvl>
    <w:lvl w:ilvl="3" w:tplc="8C52B728" w:tentative="1">
      <w:start w:val="1"/>
      <w:numFmt w:val="bullet"/>
      <w:lvlText w:val="•"/>
      <w:lvlJc w:val="left"/>
      <w:pPr>
        <w:tabs>
          <w:tab w:val="num" w:pos="2880"/>
        </w:tabs>
        <w:ind w:left="2880" w:hanging="360"/>
      </w:pPr>
      <w:rPr>
        <w:rFonts w:ascii="Arial" w:hAnsi="Arial" w:hint="default"/>
      </w:rPr>
    </w:lvl>
    <w:lvl w:ilvl="4" w:tplc="F0825A3E" w:tentative="1">
      <w:start w:val="1"/>
      <w:numFmt w:val="bullet"/>
      <w:lvlText w:val="•"/>
      <w:lvlJc w:val="left"/>
      <w:pPr>
        <w:tabs>
          <w:tab w:val="num" w:pos="3600"/>
        </w:tabs>
        <w:ind w:left="3600" w:hanging="360"/>
      </w:pPr>
      <w:rPr>
        <w:rFonts w:ascii="Arial" w:hAnsi="Arial" w:hint="default"/>
      </w:rPr>
    </w:lvl>
    <w:lvl w:ilvl="5" w:tplc="4DAE90F0" w:tentative="1">
      <w:start w:val="1"/>
      <w:numFmt w:val="bullet"/>
      <w:lvlText w:val="•"/>
      <w:lvlJc w:val="left"/>
      <w:pPr>
        <w:tabs>
          <w:tab w:val="num" w:pos="4320"/>
        </w:tabs>
        <w:ind w:left="4320" w:hanging="360"/>
      </w:pPr>
      <w:rPr>
        <w:rFonts w:ascii="Arial" w:hAnsi="Arial" w:hint="default"/>
      </w:rPr>
    </w:lvl>
    <w:lvl w:ilvl="6" w:tplc="EE3CF8EC" w:tentative="1">
      <w:start w:val="1"/>
      <w:numFmt w:val="bullet"/>
      <w:lvlText w:val="•"/>
      <w:lvlJc w:val="left"/>
      <w:pPr>
        <w:tabs>
          <w:tab w:val="num" w:pos="5040"/>
        </w:tabs>
        <w:ind w:left="5040" w:hanging="360"/>
      </w:pPr>
      <w:rPr>
        <w:rFonts w:ascii="Arial" w:hAnsi="Arial" w:hint="default"/>
      </w:rPr>
    </w:lvl>
    <w:lvl w:ilvl="7" w:tplc="282EC910" w:tentative="1">
      <w:start w:val="1"/>
      <w:numFmt w:val="bullet"/>
      <w:lvlText w:val="•"/>
      <w:lvlJc w:val="left"/>
      <w:pPr>
        <w:tabs>
          <w:tab w:val="num" w:pos="5760"/>
        </w:tabs>
        <w:ind w:left="5760" w:hanging="360"/>
      </w:pPr>
      <w:rPr>
        <w:rFonts w:ascii="Arial" w:hAnsi="Arial" w:hint="default"/>
      </w:rPr>
    </w:lvl>
    <w:lvl w:ilvl="8" w:tplc="DF24FD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89B2016"/>
    <w:multiLevelType w:val="hybridMultilevel"/>
    <w:tmpl w:val="40B4C4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91629755">
    <w:abstractNumId w:val="20"/>
  </w:num>
  <w:num w:numId="2" w16cid:durableId="2053578685">
    <w:abstractNumId w:val="22"/>
  </w:num>
  <w:num w:numId="3" w16cid:durableId="1673336706">
    <w:abstractNumId w:val="8"/>
  </w:num>
  <w:num w:numId="4" w16cid:durableId="571277528">
    <w:abstractNumId w:val="10"/>
  </w:num>
  <w:num w:numId="5" w16cid:durableId="1466582140">
    <w:abstractNumId w:val="26"/>
  </w:num>
  <w:num w:numId="6" w16cid:durableId="1096361027">
    <w:abstractNumId w:val="24"/>
  </w:num>
  <w:num w:numId="7" w16cid:durableId="1195272548">
    <w:abstractNumId w:val="27"/>
  </w:num>
  <w:num w:numId="8" w16cid:durableId="2049143460">
    <w:abstractNumId w:val="28"/>
  </w:num>
  <w:num w:numId="9" w16cid:durableId="88937918">
    <w:abstractNumId w:val="0"/>
  </w:num>
  <w:num w:numId="10" w16cid:durableId="873539512">
    <w:abstractNumId w:val="2"/>
  </w:num>
  <w:num w:numId="11" w16cid:durableId="13169078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2654223">
    <w:abstractNumId w:val="6"/>
  </w:num>
  <w:num w:numId="13" w16cid:durableId="336427635">
    <w:abstractNumId w:val="4"/>
  </w:num>
  <w:num w:numId="14" w16cid:durableId="354774306">
    <w:abstractNumId w:val="16"/>
  </w:num>
  <w:num w:numId="15" w16cid:durableId="1333529929">
    <w:abstractNumId w:val="30"/>
  </w:num>
  <w:num w:numId="16" w16cid:durableId="1058746679">
    <w:abstractNumId w:val="18"/>
  </w:num>
  <w:num w:numId="17" w16cid:durableId="1108548950">
    <w:abstractNumId w:val="9"/>
  </w:num>
  <w:num w:numId="18" w16cid:durableId="662439667">
    <w:abstractNumId w:val="17"/>
  </w:num>
  <w:num w:numId="19" w16cid:durableId="444664182">
    <w:abstractNumId w:val="13"/>
  </w:num>
  <w:num w:numId="20" w16cid:durableId="1957713967">
    <w:abstractNumId w:val="11"/>
  </w:num>
  <w:num w:numId="21" w16cid:durableId="368920805">
    <w:abstractNumId w:val="21"/>
  </w:num>
  <w:num w:numId="22" w16cid:durableId="647516382">
    <w:abstractNumId w:val="19"/>
  </w:num>
  <w:num w:numId="23" w16cid:durableId="1689480190">
    <w:abstractNumId w:val="23"/>
  </w:num>
  <w:num w:numId="24" w16cid:durableId="1472939666">
    <w:abstractNumId w:val="1"/>
  </w:num>
  <w:num w:numId="25" w16cid:durableId="1635255037">
    <w:abstractNumId w:val="12"/>
  </w:num>
  <w:num w:numId="26" w16cid:durableId="1661302472">
    <w:abstractNumId w:val="14"/>
  </w:num>
  <w:num w:numId="27" w16cid:durableId="514538104">
    <w:abstractNumId w:val="29"/>
  </w:num>
  <w:num w:numId="28" w16cid:durableId="164394740">
    <w:abstractNumId w:val="25"/>
  </w:num>
  <w:num w:numId="29" w16cid:durableId="1733851164">
    <w:abstractNumId w:val="3"/>
  </w:num>
  <w:num w:numId="30" w16cid:durableId="247737016">
    <w:abstractNumId w:val="7"/>
  </w:num>
  <w:num w:numId="31" w16cid:durableId="21244924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F7"/>
    <w:rsid w:val="00000140"/>
    <w:rsid w:val="0000020D"/>
    <w:rsid w:val="0000025A"/>
    <w:rsid w:val="0000037C"/>
    <w:rsid w:val="00001B45"/>
    <w:rsid w:val="00001B58"/>
    <w:rsid w:val="00001BB4"/>
    <w:rsid w:val="00001F08"/>
    <w:rsid w:val="00002021"/>
    <w:rsid w:val="000020DD"/>
    <w:rsid w:val="0000265A"/>
    <w:rsid w:val="00002702"/>
    <w:rsid w:val="000030AB"/>
    <w:rsid w:val="0000357C"/>
    <w:rsid w:val="0000370F"/>
    <w:rsid w:val="0000391D"/>
    <w:rsid w:val="000040F1"/>
    <w:rsid w:val="000042C4"/>
    <w:rsid w:val="0000438F"/>
    <w:rsid w:val="0000440F"/>
    <w:rsid w:val="00005064"/>
    <w:rsid w:val="00005220"/>
    <w:rsid w:val="00005505"/>
    <w:rsid w:val="000057C7"/>
    <w:rsid w:val="0000620B"/>
    <w:rsid w:val="0000679E"/>
    <w:rsid w:val="0000684C"/>
    <w:rsid w:val="00006998"/>
    <w:rsid w:val="00006B12"/>
    <w:rsid w:val="00006CB0"/>
    <w:rsid w:val="00006CEA"/>
    <w:rsid w:val="00006DA3"/>
    <w:rsid w:val="00007A83"/>
    <w:rsid w:val="0001010C"/>
    <w:rsid w:val="00010236"/>
    <w:rsid w:val="00010462"/>
    <w:rsid w:val="0001069A"/>
    <w:rsid w:val="000107F3"/>
    <w:rsid w:val="00011758"/>
    <w:rsid w:val="00011FD0"/>
    <w:rsid w:val="000123B7"/>
    <w:rsid w:val="00012FC2"/>
    <w:rsid w:val="00013124"/>
    <w:rsid w:val="00013290"/>
    <w:rsid w:val="00013A86"/>
    <w:rsid w:val="0001402F"/>
    <w:rsid w:val="0001427A"/>
    <w:rsid w:val="00014409"/>
    <w:rsid w:val="00014714"/>
    <w:rsid w:val="000147B3"/>
    <w:rsid w:val="0001536B"/>
    <w:rsid w:val="00015378"/>
    <w:rsid w:val="000153B7"/>
    <w:rsid w:val="000155B1"/>
    <w:rsid w:val="00015921"/>
    <w:rsid w:val="00015A86"/>
    <w:rsid w:val="00015D32"/>
    <w:rsid w:val="0001669B"/>
    <w:rsid w:val="000166B2"/>
    <w:rsid w:val="00016795"/>
    <w:rsid w:val="00016A4D"/>
    <w:rsid w:val="00016D90"/>
    <w:rsid w:val="000173E2"/>
    <w:rsid w:val="000179C0"/>
    <w:rsid w:val="0002024D"/>
    <w:rsid w:val="00020354"/>
    <w:rsid w:val="0002051F"/>
    <w:rsid w:val="00020CFE"/>
    <w:rsid w:val="00020EA4"/>
    <w:rsid w:val="000215DA"/>
    <w:rsid w:val="00021667"/>
    <w:rsid w:val="0002173E"/>
    <w:rsid w:val="00021EC2"/>
    <w:rsid w:val="00021F7A"/>
    <w:rsid w:val="00022378"/>
    <w:rsid w:val="00023B50"/>
    <w:rsid w:val="00023DFC"/>
    <w:rsid w:val="0002417C"/>
    <w:rsid w:val="000243F0"/>
    <w:rsid w:val="000246A9"/>
    <w:rsid w:val="00024701"/>
    <w:rsid w:val="00024778"/>
    <w:rsid w:val="00024E10"/>
    <w:rsid w:val="000250F8"/>
    <w:rsid w:val="000252C3"/>
    <w:rsid w:val="000255C6"/>
    <w:rsid w:val="00026068"/>
    <w:rsid w:val="000260DD"/>
    <w:rsid w:val="000260FF"/>
    <w:rsid w:val="00026499"/>
    <w:rsid w:val="00026785"/>
    <w:rsid w:val="0002694D"/>
    <w:rsid w:val="00026D19"/>
    <w:rsid w:val="00026F4D"/>
    <w:rsid w:val="000271E2"/>
    <w:rsid w:val="000272D6"/>
    <w:rsid w:val="00027481"/>
    <w:rsid w:val="000275B8"/>
    <w:rsid w:val="00027753"/>
    <w:rsid w:val="00027BBA"/>
    <w:rsid w:val="00027F1D"/>
    <w:rsid w:val="0003095E"/>
    <w:rsid w:val="00031BF9"/>
    <w:rsid w:val="000322DC"/>
    <w:rsid w:val="00032375"/>
    <w:rsid w:val="000324CC"/>
    <w:rsid w:val="000325B8"/>
    <w:rsid w:val="000336E7"/>
    <w:rsid w:val="00033FB8"/>
    <w:rsid w:val="000342A5"/>
    <w:rsid w:val="000347A8"/>
    <w:rsid w:val="00034C1A"/>
    <w:rsid w:val="00034DD8"/>
    <w:rsid w:val="00034E02"/>
    <w:rsid w:val="00034E56"/>
    <w:rsid w:val="00035A9F"/>
    <w:rsid w:val="00035BA8"/>
    <w:rsid w:val="00035C93"/>
    <w:rsid w:val="00036091"/>
    <w:rsid w:val="0003633C"/>
    <w:rsid w:val="0003648A"/>
    <w:rsid w:val="000367F0"/>
    <w:rsid w:val="00036A59"/>
    <w:rsid w:val="00036BF9"/>
    <w:rsid w:val="000371AB"/>
    <w:rsid w:val="0003728A"/>
    <w:rsid w:val="0003734F"/>
    <w:rsid w:val="00037420"/>
    <w:rsid w:val="00037BE5"/>
    <w:rsid w:val="00037EC6"/>
    <w:rsid w:val="00037ED1"/>
    <w:rsid w:val="00037FCD"/>
    <w:rsid w:val="000401B3"/>
    <w:rsid w:val="0004026E"/>
    <w:rsid w:val="00040541"/>
    <w:rsid w:val="000405BC"/>
    <w:rsid w:val="000407F2"/>
    <w:rsid w:val="00040CE9"/>
    <w:rsid w:val="00040E05"/>
    <w:rsid w:val="000410B8"/>
    <w:rsid w:val="000414A6"/>
    <w:rsid w:val="00041694"/>
    <w:rsid w:val="000420EB"/>
    <w:rsid w:val="00042361"/>
    <w:rsid w:val="00042BD8"/>
    <w:rsid w:val="00042CE9"/>
    <w:rsid w:val="00042E8B"/>
    <w:rsid w:val="00042F0C"/>
    <w:rsid w:val="0004330B"/>
    <w:rsid w:val="00043416"/>
    <w:rsid w:val="00043460"/>
    <w:rsid w:val="00043648"/>
    <w:rsid w:val="0004385A"/>
    <w:rsid w:val="00043945"/>
    <w:rsid w:val="00043A1E"/>
    <w:rsid w:val="000442FC"/>
    <w:rsid w:val="000446BE"/>
    <w:rsid w:val="00044BA7"/>
    <w:rsid w:val="00045544"/>
    <w:rsid w:val="00045699"/>
    <w:rsid w:val="000457FA"/>
    <w:rsid w:val="00045AAA"/>
    <w:rsid w:val="000461C4"/>
    <w:rsid w:val="000464E8"/>
    <w:rsid w:val="0004659F"/>
    <w:rsid w:val="00046C8F"/>
    <w:rsid w:val="00046FE4"/>
    <w:rsid w:val="000473F8"/>
    <w:rsid w:val="00047471"/>
    <w:rsid w:val="00050618"/>
    <w:rsid w:val="000509EF"/>
    <w:rsid w:val="00050E59"/>
    <w:rsid w:val="00051466"/>
    <w:rsid w:val="000514C5"/>
    <w:rsid w:val="00051846"/>
    <w:rsid w:val="00051B72"/>
    <w:rsid w:val="00051C69"/>
    <w:rsid w:val="00051E56"/>
    <w:rsid w:val="000520BB"/>
    <w:rsid w:val="000521C5"/>
    <w:rsid w:val="000527A8"/>
    <w:rsid w:val="00052D1D"/>
    <w:rsid w:val="00052F7E"/>
    <w:rsid w:val="00053038"/>
    <w:rsid w:val="0005320B"/>
    <w:rsid w:val="000534A9"/>
    <w:rsid w:val="000535EF"/>
    <w:rsid w:val="0005366F"/>
    <w:rsid w:val="0005399C"/>
    <w:rsid w:val="00053EA0"/>
    <w:rsid w:val="00053FF1"/>
    <w:rsid w:val="00054280"/>
    <w:rsid w:val="000546AD"/>
    <w:rsid w:val="0005489A"/>
    <w:rsid w:val="00054983"/>
    <w:rsid w:val="00054C73"/>
    <w:rsid w:val="00054DBD"/>
    <w:rsid w:val="000551B9"/>
    <w:rsid w:val="000552D1"/>
    <w:rsid w:val="0005549B"/>
    <w:rsid w:val="000556A5"/>
    <w:rsid w:val="00055A73"/>
    <w:rsid w:val="00055E4A"/>
    <w:rsid w:val="00055EDD"/>
    <w:rsid w:val="000560CB"/>
    <w:rsid w:val="000562D8"/>
    <w:rsid w:val="00056320"/>
    <w:rsid w:val="00056925"/>
    <w:rsid w:val="00056974"/>
    <w:rsid w:val="00056FB3"/>
    <w:rsid w:val="00057512"/>
    <w:rsid w:val="000575F0"/>
    <w:rsid w:val="00057730"/>
    <w:rsid w:val="0005781B"/>
    <w:rsid w:val="00060F65"/>
    <w:rsid w:val="0006102A"/>
    <w:rsid w:val="0006117A"/>
    <w:rsid w:val="000611CA"/>
    <w:rsid w:val="0006144D"/>
    <w:rsid w:val="0006189D"/>
    <w:rsid w:val="00061970"/>
    <w:rsid w:val="00061EE7"/>
    <w:rsid w:val="00061FE7"/>
    <w:rsid w:val="00062E27"/>
    <w:rsid w:val="00062E5A"/>
    <w:rsid w:val="00062F51"/>
    <w:rsid w:val="000638A4"/>
    <w:rsid w:val="00063B4D"/>
    <w:rsid w:val="00063BA8"/>
    <w:rsid w:val="00064D54"/>
    <w:rsid w:val="00065352"/>
    <w:rsid w:val="0006553F"/>
    <w:rsid w:val="000656F1"/>
    <w:rsid w:val="00065C34"/>
    <w:rsid w:val="00065DFD"/>
    <w:rsid w:val="00066056"/>
    <w:rsid w:val="000661BE"/>
    <w:rsid w:val="0006633F"/>
    <w:rsid w:val="00066C83"/>
    <w:rsid w:val="000670B4"/>
    <w:rsid w:val="000677F3"/>
    <w:rsid w:val="00067B05"/>
    <w:rsid w:val="00067D9C"/>
    <w:rsid w:val="00070058"/>
    <w:rsid w:val="00070166"/>
    <w:rsid w:val="000704F9"/>
    <w:rsid w:val="000706AA"/>
    <w:rsid w:val="00070C66"/>
    <w:rsid w:val="000715A7"/>
    <w:rsid w:val="000718E5"/>
    <w:rsid w:val="000719D3"/>
    <w:rsid w:val="00071E65"/>
    <w:rsid w:val="00072003"/>
    <w:rsid w:val="0007287A"/>
    <w:rsid w:val="00072C6A"/>
    <w:rsid w:val="0007360E"/>
    <w:rsid w:val="0007365E"/>
    <w:rsid w:val="00073793"/>
    <w:rsid w:val="0007381A"/>
    <w:rsid w:val="000739A7"/>
    <w:rsid w:val="00073E05"/>
    <w:rsid w:val="000740E4"/>
    <w:rsid w:val="00074F47"/>
    <w:rsid w:val="00074FD3"/>
    <w:rsid w:val="00075139"/>
    <w:rsid w:val="0007530B"/>
    <w:rsid w:val="00075927"/>
    <w:rsid w:val="000762B0"/>
    <w:rsid w:val="000764A1"/>
    <w:rsid w:val="00076B98"/>
    <w:rsid w:val="00076BD8"/>
    <w:rsid w:val="000772B4"/>
    <w:rsid w:val="00077454"/>
    <w:rsid w:val="0007789D"/>
    <w:rsid w:val="000778FF"/>
    <w:rsid w:val="00077DBD"/>
    <w:rsid w:val="00077F9A"/>
    <w:rsid w:val="00080199"/>
    <w:rsid w:val="000802D5"/>
    <w:rsid w:val="00080B83"/>
    <w:rsid w:val="00080CAB"/>
    <w:rsid w:val="00080E6C"/>
    <w:rsid w:val="00080E72"/>
    <w:rsid w:val="00081454"/>
    <w:rsid w:val="0008147E"/>
    <w:rsid w:val="00081D20"/>
    <w:rsid w:val="00081EDF"/>
    <w:rsid w:val="0008288B"/>
    <w:rsid w:val="00082978"/>
    <w:rsid w:val="00082D0C"/>
    <w:rsid w:val="00083250"/>
    <w:rsid w:val="00083339"/>
    <w:rsid w:val="00083424"/>
    <w:rsid w:val="0008358E"/>
    <w:rsid w:val="000836CE"/>
    <w:rsid w:val="000837B6"/>
    <w:rsid w:val="000838EB"/>
    <w:rsid w:val="00083BEF"/>
    <w:rsid w:val="00084144"/>
    <w:rsid w:val="00084D14"/>
    <w:rsid w:val="00085954"/>
    <w:rsid w:val="00085CF2"/>
    <w:rsid w:val="00085F60"/>
    <w:rsid w:val="000861B5"/>
    <w:rsid w:val="000863B6"/>
    <w:rsid w:val="00086846"/>
    <w:rsid w:val="00086BCC"/>
    <w:rsid w:val="00086EC7"/>
    <w:rsid w:val="00086F67"/>
    <w:rsid w:val="00087FF5"/>
    <w:rsid w:val="00090E40"/>
    <w:rsid w:val="000911E4"/>
    <w:rsid w:val="00091E73"/>
    <w:rsid w:val="00091E9C"/>
    <w:rsid w:val="00092483"/>
    <w:rsid w:val="00092F2E"/>
    <w:rsid w:val="000932E3"/>
    <w:rsid w:val="000934E0"/>
    <w:rsid w:val="0009351D"/>
    <w:rsid w:val="0009393B"/>
    <w:rsid w:val="00093CC9"/>
    <w:rsid w:val="00094120"/>
    <w:rsid w:val="000941EE"/>
    <w:rsid w:val="0009428A"/>
    <w:rsid w:val="0009442E"/>
    <w:rsid w:val="000947BE"/>
    <w:rsid w:val="0009488F"/>
    <w:rsid w:val="00094B02"/>
    <w:rsid w:val="00094C3B"/>
    <w:rsid w:val="00094C52"/>
    <w:rsid w:val="000955BA"/>
    <w:rsid w:val="00095CC0"/>
    <w:rsid w:val="00095D27"/>
    <w:rsid w:val="00095E1B"/>
    <w:rsid w:val="0009626D"/>
    <w:rsid w:val="0009663B"/>
    <w:rsid w:val="0009678E"/>
    <w:rsid w:val="000969E3"/>
    <w:rsid w:val="00096C7A"/>
    <w:rsid w:val="00097666"/>
    <w:rsid w:val="00097F0D"/>
    <w:rsid w:val="000A005D"/>
    <w:rsid w:val="000A0A35"/>
    <w:rsid w:val="000A13A9"/>
    <w:rsid w:val="000A143A"/>
    <w:rsid w:val="000A17C4"/>
    <w:rsid w:val="000A1942"/>
    <w:rsid w:val="000A19AC"/>
    <w:rsid w:val="000A2496"/>
    <w:rsid w:val="000A2768"/>
    <w:rsid w:val="000A27C4"/>
    <w:rsid w:val="000A3679"/>
    <w:rsid w:val="000A36A2"/>
    <w:rsid w:val="000A3A37"/>
    <w:rsid w:val="000A3D3F"/>
    <w:rsid w:val="000A4916"/>
    <w:rsid w:val="000A4FB8"/>
    <w:rsid w:val="000A54D4"/>
    <w:rsid w:val="000A5E2F"/>
    <w:rsid w:val="000A5E8D"/>
    <w:rsid w:val="000A60AA"/>
    <w:rsid w:val="000A642F"/>
    <w:rsid w:val="000A6570"/>
    <w:rsid w:val="000A6B6C"/>
    <w:rsid w:val="000A77E7"/>
    <w:rsid w:val="000A7B81"/>
    <w:rsid w:val="000A7B8E"/>
    <w:rsid w:val="000B0353"/>
    <w:rsid w:val="000B03BF"/>
    <w:rsid w:val="000B03F3"/>
    <w:rsid w:val="000B09E3"/>
    <w:rsid w:val="000B0F1B"/>
    <w:rsid w:val="000B1083"/>
    <w:rsid w:val="000B1234"/>
    <w:rsid w:val="000B1813"/>
    <w:rsid w:val="000B1C4F"/>
    <w:rsid w:val="000B219A"/>
    <w:rsid w:val="000B2362"/>
    <w:rsid w:val="000B2794"/>
    <w:rsid w:val="000B2A76"/>
    <w:rsid w:val="000B2B4D"/>
    <w:rsid w:val="000B2C54"/>
    <w:rsid w:val="000B2E39"/>
    <w:rsid w:val="000B30A9"/>
    <w:rsid w:val="000B3C65"/>
    <w:rsid w:val="000B48C9"/>
    <w:rsid w:val="000B5027"/>
    <w:rsid w:val="000B5668"/>
    <w:rsid w:val="000B56D2"/>
    <w:rsid w:val="000B5C27"/>
    <w:rsid w:val="000B6080"/>
    <w:rsid w:val="000B67A6"/>
    <w:rsid w:val="000B69C9"/>
    <w:rsid w:val="000B6F9F"/>
    <w:rsid w:val="000B72BB"/>
    <w:rsid w:val="000B72F0"/>
    <w:rsid w:val="000B7313"/>
    <w:rsid w:val="000B741B"/>
    <w:rsid w:val="000B770D"/>
    <w:rsid w:val="000B791C"/>
    <w:rsid w:val="000B7962"/>
    <w:rsid w:val="000B7A7D"/>
    <w:rsid w:val="000B7CF6"/>
    <w:rsid w:val="000B7D88"/>
    <w:rsid w:val="000B7EE9"/>
    <w:rsid w:val="000C0564"/>
    <w:rsid w:val="000C1099"/>
    <w:rsid w:val="000C13C2"/>
    <w:rsid w:val="000C1CA2"/>
    <w:rsid w:val="000C1CF6"/>
    <w:rsid w:val="000C1DB7"/>
    <w:rsid w:val="000C2075"/>
    <w:rsid w:val="000C212F"/>
    <w:rsid w:val="000C2315"/>
    <w:rsid w:val="000C23D3"/>
    <w:rsid w:val="000C244D"/>
    <w:rsid w:val="000C24CB"/>
    <w:rsid w:val="000C2774"/>
    <w:rsid w:val="000C2A22"/>
    <w:rsid w:val="000C2F6A"/>
    <w:rsid w:val="000C2F8B"/>
    <w:rsid w:val="000C34B6"/>
    <w:rsid w:val="000C3528"/>
    <w:rsid w:val="000C382E"/>
    <w:rsid w:val="000C4D19"/>
    <w:rsid w:val="000C4D5D"/>
    <w:rsid w:val="000C5118"/>
    <w:rsid w:val="000C523E"/>
    <w:rsid w:val="000C5EBE"/>
    <w:rsid w:val="000C6018"/>
    <w:rsid w:val="000C6077"/>
    <w:rsid w:val="000C64E5"/>
    <w:rsid w:val="000C6601"/>
    <w:rsid w:val="000C6DED"/>
    <w:rsid w:val="000C6F15"/>
    <w:rsid w:val="000C735D"/>
    <w:rsid w:val="000C74E4"/>
    <w:rsid w:val="000C798E"/>
    <w:rsid w:val="000D091B"/>
    <w:rsid w:val="000D0C00"/>
    <w:rsid w:val="000D10C3"/>
    <w:rsid w:val="000D1A7D"/>
    <w:rsid w:val="000D1F05"/>
    <w:rsid w:val="000D24AD"/>
    <w:rsid w:val="000D259E"/>
    <w:rsid w:val="000D25C0"/>
    <w:rsid w:val="000D2676"/>
    <w:rsid w:val="000D271F"/>
    <w:rsid w:val="000D2B25"/>
    <w:rsid w:val="000D2F09"/>
    <w:rsid w:val="000D301A"/>
    <w:rsid w:val="000D42FB"/>
    <w:rsid w:val="000D430F"/>
    <w:rsid w:val="000D45AA"/>
    <w:rsid w:val="000D4810"/>
    <w:rsid w:val="000D4D9A"/>
    <w:rsid w:val="000D5296"/>
    <w:rsid w:val="000D52DA"/>
    <w:rsid w:val="000D5A2F"/>
    <w:rsid w:val="000D5E6D"/>
    <w:rsid w:val="000D61BD"/>
    <w:rsid w:val="000D6706"/>
    <w:rsid w:val="000D69E6"/>
    <w:rsid w:val="000D6A96"/>
    <w:rsid w:val="000D6E18"/>
    <w:rsid w:val="000D7090"/>
    <w:rsid w:val="000D7502"/>
    <w:rsid w:val="000D79F6"/>
    <w:rsid w:val="000D7D01"/>
    <w:rsid w:val="000D7D59"/>
    <w:rsid w:val="000D7FAF"/>
    <w:rsid w:val="000E00A9"/>
    <w:rsid w:val="000E00C2"/>
    <w:rsid w:val="000E093C"/>
    <w:rsid w:val="000E0CE1"/>
    <w:rsid w:val="000E0CE4"/>
    <w:rsid w:val="000E0E41"/>
    <w:rsid w:val="000E0F25"/>
    <w:rsid w:val="000E12BD"/>
    <w:rsid w:val="000E16CD"/>
    <w:rsid w:val="000E1AF3"/>
    <w:rsid w:val="000E1E16"/>
    <w:rsid w:val="000E208E"/>
    <w:rsid w:val="000E2769"/>
    <w:rsid w:val="000E2871"/>
    <w:rsid w:val="000E2CE8"/>
    <w:rsid w:val="000E30D9"/>
    <w:rsid w:val="000E3175"/>
    <w:rsid w:val="000E31AC"/>
    <w:rsid w:val="000E349C"/>
    <w:rsid w:val="000E39D1"/>
    <w:rsid w:val="000E3B8D"/>
    <w:rsid w:val="000E40F6"/>
    <w:rsid w:val="000E44C9"/>
    <w:rsid w:val="000E455E"/>
    <w:rsid w:val="000E4593"/>
    <w:rsid w:val="000E49A6"/>
    <w:rsid w:val="000E4C0E"/>
    <w:rsid w:val="000E4FD0"/>
    <w:rsid w:val="000E501B"/>
    <w:rsid w:val="000E5306"/>
    <w:rsid w:val="000E5B38"/>
    <w:rsid w:val="000E635F"/>
    <w:rsid w:val="000E7025"/>
    <w:rsid w:val="000E7153"/>
    <w:rsid w:val="000E71C9"/>
    <w:rsid w:val="000E7F79"/>
    <w:rsid w:val="000F118B"/>
    <w:rsid w:val="000F1479"/>
    <w:rsid w:val="000F18D0"/>
    <w:rsid w:val="000F1AA8"/>
    <w:rsid w:val="000F1B8D"/>
    <w:rsid w:val="000F1C9B"/>
    <w:rsid w:val="000F1D15"/>
    <w:rsid w:val="000F251B"/>
    <w:rsid w:val="000F254B"/>
    <w:rsid w:val="000F2962"/>
    <w:rsid w:val="000F34E2"/>
    <w:rsid w:val="000F3688"/>
    <w:rsid w:val="000F3781"/>
    <w:rsid w:val="000F3C12"/>
    <w:rsid w:val="000F3FE2"/>
    <w:rsid w:val="000F4436"/>
    <w:rsid w:val="000F4528"/>
    <w:rsid w:val="000F4581"/>
    <w:rsid w:val="000F47DF"/>
    <w:rsid w:val="000F485B"/>
    <w:rsid w:val="000F4DAD"/>
    <w:rsid w:val="000F5192"/>
    <w:rsid w:val="000F528C"/>
    <w:rsid w:val="000F556B"/>
    <w:rsid w:val="000F587B"/>
    <w:rsid w:val="000F5D7A"/>
    <w:rsid w:val="000F5E4C"/>
    <w:rsid w:val="000F6B98"/>
    <w:rsid w:val="000F73DB"/>
    <w:rsid w:val="000F7585"/>
    <w:rsid w:val="001002E5"/>
    <w:rsid w:val="00100498"/>
    <w:rsid w:val="001019FB"/>
    <w:rsid w:val="00101BE3"/>
    <w:rsid w:val="00101E2E"/>
    <w:rsid w:val="0010200D"/>
    <w:rsid w:val="001022C4"/>
    <w:rsid w:val="0010247D"/>
    <w:rsid w:val="001027CF"/>
    <w:rsid w:val="00102868"/>
    <w:rsid w:val="00102A6A"/>
    <w:rsid w:val="00102B80"/>
    <w:rsid w:val="00102F35"/>
    <w:rsid w:val="001032B1"/>
    <w:rsid w:val="0010344B"/>
    <w:rsid w:val="001037A5"/>
    <w:rsid w:val="001039EC"/>
    <w:rsid w:val="00103E00"/>
    <w:rsid w:val="00104120"/>
    <w:rsid w:val="00104957"/>
    <w:rsid w:val="00104B11"/>
    <w:rsid w:val="00104B69"/>
    <w:rsid w:val="00104FA7"/>
    <w:rsid w:val="00105349"/>
    <w:rsid w:val="00105760"/>
    <w:rsid w:val="00105779"/>
    <w:rsid w:val="001059D3"/>
    <w:rsid w:val="00105A8A"/>
    <w:rsid w:val="00105CCB"/>
    <w:rsid w:val="00105E13"/>
    <w:rsid w:val="00105FE9"/>
    <w:rsid w:val="0010628A"/>
    <w:rsid w:val="00106305"/>
    <w:rsid w:val="00106331"/>
    <w:rsid w:val="0010650B"/>
    <w:rsid w:val="00106605"/>
    <w:rsid w:val="00106A0B"/>
    <w:rsid w:val="00106B4D"/>
    <w:rsid w:val="00106E41"/>
    <w:rsid w:val="001071C8"/>
    <w:rsid w:val="00107932"/>
    <w:rsid w:val="00110427"/>
    <w:rsid w:val="001104E5"/>
    <w:rsid w:val="00110820"/>
    <w:rsid w:val="00110859"/>
    <w:rsid w:val="00110B17"/>
    <w:rsid w:val="00110CAA"/>
    <w:rsid w:val="0011140D"/>
    <w:rsid w:val="0011181F"/>
    <w:rsid w:val="001118A7"/>
    <w:rsid w:val="00111940"/>
    <w:rsid w:val="00111B0D"/>
    <w:rsid w:val="00111F86"/>
    <w:rsid w:val="00112027"/>
    <w:rsid w:val="001124D5"/>
    <w:rsid w:val="00112F29"/>
    <w:rsid w:val="00112FEA"/>
    <w:rsid w:val="001134C5"/>
    <w:rsid w:val="00113ECF"/>
    <w:rsid w:val="00113F83"/>
    <w:rsid w:val="00113FE7"/>
    <w:rsid w:val="001141DC"/>
    <w:rsid w:val="001148BD"/>
    <w:rsid w:val="00114994"/>
    <w:rsid w:val="00114C38"/>
    <w:rsid w:val="00114D32"/>
    <w:rsid w:val="00114DE8"/>
    <w:rsid w:val="00114FC7"/>
    <w:rsid w:val="00115017"/>
    <w:rsid w:val="00115B8A"/>
    <w:rsid w:val="001162C9"/>
    <w:rsid w:val="00116565"/>
    <w:rsid w:val="00116AB8"/>
    <w:rsid w:val="00116D04"/>
    <w:rsid w:val="00117146"/>
    <w:rsid w:val="00117252"/>
    <w:rsid w:val="001179FD"/>
    <w:rsid w:val="00117A42"/>
    <w:rsid w:val="00117B32"/>
    <w:rsid w:val="0012009A"/>
    <w:rsid w:val="001201CD"/>
    <w:rsid w:val="001203C6"/>
    <w:rsid w:val="001208FD"/>
    <w:rsid w:val="00120B12"/>
    <w:rsid w:val="00120CE5"/>
    <w:rsid w:val="0012126A"/>
    <w:rsid w:val="001219DC"/>
    <w:rsid w:val="00121B59"/>
    <w:rsid w:val="00121EA2"/>
    <w:rsid w:val="001223E1"/>
    <w:rsid w:val="001225CF"/>
    <w:rsid w:val="00122732"/>
    <w:rsid w:val="001227C4"/>
    <w:rsid w:val="00122C44"/>
    <w:rsid w:val="00122D60"/>
    <w:rsid w:val="001238D7"/>
    <w:rsid w:val="00123D86"/>
    <w:rsid w:val="0012421F"/>
    <w:rsid w:val="0012426A"/>
    <w:rsid w:val="00124647"/>
    <w:rsid w:val="001246E8"/>
    <w:rsid w:val="001247A8"/>
    <w:rsid w:val="0012529D"/>
    <w:rsid w:val="001253EA"/>
    <w:rsid w:val="00125467"/>
    <w:rsid w:val="0012563A"/>
    <w:rsid w:val="00125A31"/>
    <w:rsid w:val="00125C22"/>
    <w:rsid w:val="0012621E"/>
    <w:rsid w:val="00126421"/>
    <w:rsid w:val="00126E56"/>
    <w:rsid w:val="001270A9"/>
    <w:rsid w:val="0012741E"/>
    <w:rsid w:val="001274F5"/>
    <w:rsid w:val="00127BD3"/>
    <w:rsid w:val="00127EEA"/>
    <w:rsid w:val="00130327"/>
    <w:rsid w:val="0013041F"/>
    <w:rsid w:val="00130724"/>
    <w:rsid w:val="00130A52"/>
    <w:rsid w:val="00130AC8"/>
    <w:rsid w:val="00130F78"/>
    <w:rsid w:val="00130F9F"/>
    <w:rsid w:val="0013107E"/>
    <w:rsid w:val="00131304"/>
    <w:rsid w:val="00131670"/>
    <w:rsid w:val="00131841"/>
    <w:rsid w:val="00131A2A"/>
    <w:rsid w:val="00131BA4"/>
    <w:rsid w:val="00131C57"/>
    <w:rsid w:val="00131DF3"/>
    <w:rsid w:val="00132B1D"/>
    <w:rsid w:val="00132BBB"/>
    <w:rsid w:val="00132E91"/>
    <w:rsid w:val="00132FF3"/>
    <w:rsid w:val="00133287"/>
    <w:rsid w:val="0013358C"/>
    <w:rsid w:val="00133626"/>
    <w:rsid w:val="00133788"/>
    <w:rsid w:val="001339F0"/>
    <w:rsid w:val="00133A15"/>
    <w:rsid w:val="00133CF0"/>
    <w:rsid w:val="00133D36"/>
    <w:rsid w:val="001342F3"/>
    <w:rsid w:val="0013477A"/>
    <w:rsid w:val="00134A43"/>
    <w:rsid w:val="00134B0B"/>
    <w:rsid w:val="00134E44"/>
    <w:rsid w:val="001350D9"/>
    <w:rsid w:val="001356AB"/>
    <w:rsid w:val="0013574C"/>
    <w:rsid w:val="0013587E"/>
    <w:rsid w:val="00136B3C"/>
    <w:rsid w:val="00136B8E"/>
    <w:rsid w:val="00136D2F"/>
    <w:rsid w:val="00136E8F"/>
    <w:rsid w:val="0013777C"/>
    <w:rsid w:val="001377D1"/>
    <w:rsid w:val="00137F5D"/>
    <w:rsid w:val="0014038E"/>
    <w:rsid w:val="00140826"/>
    <w:rsid w:val="00140C64"/>
    <w:rsid w:val="001410A3"/>
    <w:rsid w:val="00141185"/>
    <w:rsid w:val="00141199"/>
    <w:rsid w:val="00141223"/>
    <w:rsid w:val="001428EB"/>
    <w:rsid w:val="00142957"/>
    <w:rsid w:val="00143034"/>
    <w:rsid w:val="00143320"/>
    <w:rsid w:val="0014368B"/>
    <w:rsid w:val="00144296"/>
    <w:rsid w:val="001442A1"/>
    <w:rsid w:val="00144715"/>
    <w:rsid w:val="001448A7"/>
    <w:rsid w:val="00145050"/>
    <w:rsid w:val="00145161"/>
    <w:rsid w:val="001455D3"/>
    <w:rsid w:val="00145614"/>
    <w:rsid w:val="00145D75"/>
    <w:rsid w:val="00146014"/>
    <w:rsid w:val="00146133"/>
    <w:rsid w:val="001463A5"/>
    <w:rsid w:val="0014645F"/>
    <w:rsid w:val="0014652F"/>
    <w:rsid w:val="00146C0A"/>
    <w:rsid w:val="00146C78"/>
    <w:rsid w:val="00146DC6"/>
    <w:rsid w:val="00147532"/>
    <w:rsid w:val="001475FF"/>
    <w:rsid w:val="00147768"/>
    <w:rsid w:val="0014788F"/>
    <w:rsid w:val="00147F7A"/>
    <w:rsid w:val="00150175"/>
    <w:rsid w:val="0015028D"/>
    <w:rsid w:val="001505C4"/>
    <w:rsid w:val="00150823"/>
    <w:rsid w:val="0015085A"/>
    <w:rsid w:val="001508B1"/>
    <w:rsid w:val="001508F2"/>
    <w:rsid w:val="00150C88"/>
    <w:rsid w:val="00150EE3"/>
    <w:rsid w:val="0015124E"/>
    <w:rsid w:val="0015138D"/>
    <w:rsid w:val="001515B2"/>
    <w:rsid w:val="001515E1"/>
    <w:rsid w:val="001518B5"/>
    <w:rsid w:val="001518C8"/>
    <w:rsid w:val="0015211D"/>
    <w:rsid w:val="00152416"/>
    <w:rsid w:val="001526CA"/>
    <w:rsid w:val="0015271B"/>
    <w:rsid w:val="001527BD"/>
    <w:rsid w:val="00152807"/>
    <w:rsid w:val="00152F1E"/>
    <w:rsid w:val="00152F2E"/>
    <w:rsid w:val="00152F63"/>
    <w:rsid w:val="001534AC"/>
    <w:rsid w:val="0015426B"/>
    <w:rsid w:val="001545FB"/>
    <w:rsid w:val="00154896"/>
    <w:rsid w:val="001548F2"/>
    <w:rsid w:val="00154956"/>
    <w:rsid w:val="00154CE6"/>
    <w:rsid w:val="001552EC"/>
    <w:rsid w:val="00155D3B"/>
    <w:rsid w:val="00155E6D"/>
    <w:rsid w:val="0015621B"/>
    <w:rsid w:val="00156BB6"/>
    <w:rsid w:val="00156D23"/>
    <w:rsid w:val="00157045"/>
    <w:rsid w:val="0015730A"/>
    <w:rsid w:val="00157938"/>
    <w:rsid w:val="00157A29"/>
    <w:rsid w:val="00157E9C"/>
    <w:rsid w:val="001608F2"/>
    <w:rsid w:val="00160B48"/>
    <w:rsid w:val="00160B66"/>
    <w:rsid w:val="00160CA9"/>
    <w:rsid w:val="00161114"/>
    <w:rsid w:val="001619EA"/>
    <w:rsid w:val="00161C38"/>
    <w:rsid w:val="00161D24"/>
    <w:rsid w:val="0016256A"/>
    <w:rsid w:val="00162878"/>
    <w:rsid w:val="001628F9"/>
    <w:rsid w:val="00162ACA"/>
    <w:rsid w:val="00162DCB"/>
    <w:rsid w:val="00162F82"/>
    <w:rsid w:val="001635C0"/>
    <w:rsid w:val="001638C2"/>
    <w:rsid w:val="00163F96"/>
    <w:rsid w:val="001643C6"/>
    <w:rsid w:val="00164417"/>
    <w:rsid w:val="00164A70"/>
    <w:rsid w:val="00164F74"/>
    <w:rsid w:val="00164FCC"/>
    <w:rsid w:val="001653EF"/>
    <w:rsid w:val="00165453"/>
    <w:rsid w:val="0016583F"/>
    <w:rsid w:val="0016594E"/>
    <w:rsid w:val="00165D79"/>
    <w:rsid w:val="00166E0D"/>
    <w:rsid w:val="001672B0"/>
    <w:rsid w:val="001673EA"/>
    <w:rsid w:val="0016752B"/>
    <w:rsid w:val="00167624"/>
    <w:rsid w:val="001679F2"/>
    <w:rsid w:val="00167AC6"/>
    <w:rsid w:val="00167D43"/>
    <w:rsid w:val="00170439"/>
    <w:rsid w:val="00170C72"/>
    <w:rsid w:val="00170DE0"/>
    <w:rsid w:val="0017111D"/>
    <w:rsid w:val="00171317"/>
    <w:rsid w:val="001716C5"/>
    <w:rsid w:val="0017210A"/>
    <w:rsid w:val="0017229B"/>
    <w:rsid w:val="001725B9"/>
    <w:rsid w:val="001727FF"/>
    <w:rsid w:val="00172902"/>
    <w:rsid w:val="00172B59"/>
    <w:rsid w:val="001733F5"/>
    <w:rsid w:val="00173497"/>
    <w:rsid w:val="001734ED"/>
    <w:rsid w:val="0017392D"/>
    <w:rsid w:val="00173DC1"/>
    <w:rsid w:val="00173E24"/>
    <w:rsid w:val="00174267"/>
    <w:rsid w:val="001742A5"/>
    <w:rsid w:val="001742CD"/>
    <w:rsid w:val="001744BA"/>
    <w:rsid w:val="001744FC"/>
    <w:rsid w:val="00174A95"/>
    <w:rsid w:val="00174D0C"/>
    <w:rsid w:val="00174DA3"/>
    <w:rsid w:val="00175231"/>
    <w:rsid w:val="0017534E"/>
    <w:rsid w:val="00175B16"/>
    <w:rsid w:val="00175E4E"/>
    <w:rsid w:val="00175FE8"/>
    <w:rsid w:val="00176544"/>
    <w:rsid w:val="00176B17"/>
    <w:rsid w:val="001772A3"/>
    <w:rsid w:val="00177513"/>
    <w:rsid w:val="00177761"/>
    <w:rsid w:val="00177C02"/>
    <w:rsid w:val="0018024D"/>
    <w:rsid w:val="00180532"/>
    <w:rsid w:val="00180A83"/>
    <w:rsid w:val="00180F56"/>
    <w:rsid w:val="001814CF"/>
    <w:rsid w:val="0018168C"/>
    <w:rsid w:val="0018186E"/>
    <w:rsid w:val="001820FC"/>
    <w:rsid w:val="00182135"/>
    <w:rsid w:val="00182382"/>
    <w:rsid w:val="0018247B"/>
    <w:rsid w:val="0018289F"/>
    <w:rsid w:val="00182F5C"/>
    <w:rsid w:val="00183E13"/>
    <w:rsid w:val="00184344"/>
    <w:rsid w:val="0018437B"/>
    <w:rsid w:val="00184A93"/>
    <w:rsid w:val="00184B50"/>
    <w:rsid w:val="00184C2A"/>
    <w:rsid w:val="00184D6A"/>
    <w:rsid w:val="001850A7"/>
    <w:rsid w:val="001853A7"/>
    <w:rsid w:val="001855A2"/>
    <w:rsid w:val="0018565E"/>
    <w:rsid w:val="00185847"/>
    <w:rsid w:val="001858EF"/>
    <w:rsid w:val="00185A47"/>
    <w:rsid w:val="00185AD1"/>
    <w:rsid w:val="00185D3B"/>
    <w:rsid w:val="00185D6F"/>
    <w:rsid w:val="00185FC6"/>
    <w:rsid w:val="00186233"/>
    <w:rsid w:val="00186260"/>
    <w:rsid w:val="001866D5"/>
    <w:rsid w:val="00186A04"/>
    <w:rsid w:val="00187039"/>
    <w:rsid w:val="00187308"/>
    <w:rsid w:val="00187471"/>
    <w:rsid w:val="00187801"/>
    <w:rsid w:val="00187B1C"/>
    <w:rsid w:val="00187F0D"/>
    <w:rsid w:val="0019032C"/>
    <w:rsid w:val="00190939"/>
    <w:rsid w:val="00190BBD"/>
    <w:rsid w:val="00190F94"/>
    <w:rsid w:val="001917C8"/>
    <w:rsid w:val="00191EE8"/>
    <w:rsid w:val="00191FC1"/>
    <w:rsid w:val="00192720"/>
    <w:rsid w:val="00192B39"/>
    <w:rsid w:val="00192EA9"/>
    <w:rsid w:val="00193327"/>
    <w:rsid w:val="001937F2"/>
    <w:rsid w:val="001938A1"/>
    <w:rsid w:val="00193A08"/>
    <w:rsid w:val="00193DA5"/>
    <w:rsid w:val="00193EC6"/>
    <w:rsid w:val="00193F4F"/>
    <w:rsid w:val="00194036"/>
    <w:rsid w:val="00194D0A"/>
    <w:rsid w:val="00194F34"/>
    <w:rsid w:val="001950E0"/>
    <w:rsid w:val="001954DA"/>
    <w:rsid w:val="00195546"/>
    <w:rsid w:val="0019578B"/>
    <w:rsid w:val="00195A74"/>
    <w:rsid w:val="00195D26"/>
    <w:rsid w:val="00196065"/>
    <w:rsid w:val="001960B2"/>
    <w:rsid w:val="00196549"/>
    <w:rsid w:val="00197184"/>
    <w:rsid w:val="00197319"/>
    <w:rsid w:val="0019731E"/>
    <w:rsid w:val="00197751"/>
    <w:rsid w:val="00197A92"/>
    <w:rsid w:val="00197D97"/>
    <w:rsid w:val="00197E2E"/>
    <w:rsid w:val="001A0257"/>
    <w:rsid w:val="001A04D2"/>
    <w:rsid w:val="001A0A02"/>
    <w:rsid w:val="001A0A78"/>
    <w:rsid w:val="001A0B01"/>
    <w:rsid w:val="001A0B44"/>
    <w:rsid w:val="001A116A"/>
    <w:rsid w:val="001A15F5"/>
    <w:rsid w:val="001A171D"/>
    <w:rsid w:val="001A253A"/>
    <w:rsid w:val="001A2D4E"/>
    <w:rsid w:val="001A2EB5"/>
    <w:rsid w:val="001A2F61"/>
    <w:rsid w:val="001A35A9"/>
    <w:rsid w:val="001A3D1A"/>
    <w:rsid w:val="001A4000"/>
    <w:rsid w:val="001A4D25"/>
    <w:rsid w:val="001A4D36"/>
    <w:rsid w:val="001A5721"/>
    <w:rsid w:val="001A60F3"/>
    <w:rsid w:val="001A6363"/>
    <w:rsid w:val="001A657C"/>
    <w:rsid w:val="001A65E1"/>
    <w:rsid w:val="001A65F3"/>
    <w:rsid w:val="001A6766"/>
    <w:rsid w:val="001A689F"/>
    <w:rsid w:val="001A6987"/>
    <w:rsid w:val="001A6AB4"/>
    <w:rsid w:val="001A6FA5"/>
    <w:rsid w:val="001A7466"/>
    <w:rsid w:val="001A79D0"/>
    <w:rsid w:val="001A7EFD"/>
    <w:rsid w:val="001B0349"/>
    <w:rsid w:val="001B03B1"/>
    <w:rsid w:val="001B083C"/>
    <w:rsid w:val="001B086E"/>
    <w:rsid w:val="001B0D7E"/>
    <w:rsid w:val="001B0F55"/>
    <w:rsid w:val="001B17AA"/>
    <w:rsid w:val="001B1863"/>
    <w:rsid w:val="001B1CE5"/>
    <w:rsid w:val="001B21BC"/>
    <w:rsid w:val="001B253D"/>
    <w:rsid w:val="001B26A3"/>
    <w:rsid w:val="001B2E5A"/>
    <w:rsid w:val="001B2F11"/>
    <w:rsid w:val="001B3CD1"/>
    <w:rsid w:val="001B4279"/>
    <w:rsid w:val="001B4525"/>
    <w:rsid w:val="001B524D"/>
    <w:rsid w:val="001B56E0"/>
    <w:rsid w:val="001B5D73"/>
    <w:rsid w:val="001B645C"/>
    <w:rsid w:val="001B6526"/>
    <w:rsid w:val="001B6773"/>
    <w:rsid w:val="001B682F"/>
    <w:rsid w:val="001B76BD"/>
    <w:rsid w:val="001B79EB"/>
    <w:rsid w:val="001C04ED"/>
    <w:rsid w:val="001C0885"/>
    <w:rsid w:val="001C0BB6"/>
    <w:rsid w:val="001C0D9B"/>
    <w:rsid w:val="001C1129"/>
    <w:rsid w:val="001C1A02"/>
    <w:rsid w:val="001C1A0B"/>
    <w:rsid w:val="001C1C88"/>
    <w:rsid w:val="001C2224"/>
    <w:rsid w:val="001C24B9"/>
    <w:rsid w:val="001C2965"/>
    <w:rsid w:val="001C2CDB"/>
    <w:rsid w:val="001C2EAB"/>
    <w:rsid w:val="001C343E"/>
    <w:rsid w:val="001C35FD"/>
    <w:rsid w:val="001C383D"/>
    <w:rsid w:val="001C3BD4"/>
    <w:rsid w:val="001C3DE0"/>
    <w:rsid w:val="001C3E50"/>
    <w:rsid w:val="001C3F26"/>
    <w:rsid w:val="001C40B3"/>
    <w:rsid w:val="001C40CE"/>
    <w:rsid w:val="001C420F"/>
    <w:rsid w:val="001C441B"/>
    <w:rsid w:val="001C4591"/>
    <w:rsid w:val="001C4777"/>
    <w:rsid w:val="001C4A8A"/>
    <w:rsid w:val="001C4FAA"/>
    <w:rsid w:val="001C53AD"/>
    <w:rsid w:val="001C5452"/>
    <w:rsid w:val="001C550F"/>
    <w:rsid w:val="001C555B"/>
    <w:rsid w:val="001C59BE"/>
    <w:rsid w:val="001C5D4D"/>
    <w:rsid w:val="001C5E16"/>
    <w:rsid w:val="001C5E64"/>
    <w:rsid w:val="001C60F6"/>
    <w:rsid w:val="001C6109"/>
    <w:rsid w:val="001C6FD6"/>
    <w:rsid w:val="001C7734"/>
    <w:rsid w:val="001C7A30"/>
    <w:rsid w:val="001D033C"/>
    <w:rsid w:val="001D0520"/>
    <w:rsid w:val="001D05AD"/>
    <w:rsid w:val="001D0A6E"/>
    <w:rsid w:val="001D15B1"/>
    <w:rsid w:val="001D16A8"/>
    <w:rsid w:val="001D1790"/>
    <w:rsid w:val="001D1AD1"/>
    <w:rsid w:val="001D1D76"/>
    <w:rsid w:val="001D22C0"/>
    <w:rsid w:val="001D2920"/>
    <w:rsid w:val="001D2A8D"/>
    <w:rsid w:val="001D331F"/>
    <w:rsid w:val="001D3982"/>
    <w:rsid w:val="001D3D1B"/>
    <w:rsid w:val="001D3F6A"/>
    <w:rsid w:val="001D498A"/>
    <w:rsid w:val="001D4CAF"/>
    <w:rsid w:val="001D51C3"/>
    <w:rsid w:val="001D5510"/>
    <w:rsid w:val="001D577A"/>
    <w:rsid w:val="001D5B63"/>
    <w:rsid w:val="001D5D79"/>
    <w:rsid w:val="001D66F5"/>
    <w:rsid w:val="001D6A81"/>
    <w:rsid w:val="001D6AB7"/>
    <w:rsid w:val="001D6BB6"/>
    <w:rsid w:val="001D6D09"/>
    <w:rsid w:val="001D6F40"/>
    <w:rsid w:val="001D77DD"/>
    <w:rsid w:val="001D7B74"/>
    <w:rsid w:val="001E0442"/>
    <w:rsid w:val="001E0E5C"/>
    <w:rsid w:val="001E192D"/>
    <w:rsid w:val="001E1952"/>
    <w:rsid w:val="001E2399"/>
    <w:rsid w:val="001E254A"/>
    <w:rsid w:val="001E2D05"/>
    <w:rsid w:val="001E2E12"/>
    <w:rsid w:val="001E2F7B"/>
    <w:rsid w:val="001E3455"/>
    <w:rsid w:val="001E353F"/>
    <w:rsid w:val="001E3657"/>
    <w:rsid w:val="001E36C3"/>
    <w:rsid w:val="001E3709"/>
    <w:rsid w:val="001E3718"/>
    <w:rsid w:val="001E3D67"/>
    <w:rsid w:val="001E42E7"/>
    <w:rsid w:val="001E4508"/>
    <w:rsid w:val="001E47F3"/>
    <w:rsid w:val="001E4914"/>
    <w:rsid w:val="001E4D03"/>
    <w:rsid w:val="001E502B"/>
    <w:rsid w:val="001E539F"/>
    <w:rsid w:val="001E5535"/>
    <w:rsid w:val="001E56DF"/>
    <w:rsid w:val="001E5A22"/>
    <w:rsid w:val="001E5D4C"/>
    <w:rsid w:val="001E611A"/>
    <w:rsid w:val="001E69BA"/>
    <w:rsid w:val="001E6E10"/>
    <w:rsid w:val="001E6EC3"/>
    <w:rsid w:val="001E7066"/>
    <w:rsid w:val="001E73F9"/>
    <w:rsid w:val="001E76E6"/>
    <w:rsid w:val="001E7838"/>
    <w:rsid w:val="001E7B5B"/>
    <w:rsid w:val="001E7D53"/>
    <w:rsid w:val="001E7EC9"/>
    <w:rsid w:val="001F0554"/>
    <w:rsid w:val="001F0B34"/>
    <w:rsid w:val="001F0BD8"/>
    <w:rsid w:val="001F114E"/>
    <w:rsid w:val="001F1238"/>
    <w:rsid w:val="001F141D"/>
    <w:rsid w:val="001F1B79"/>
    <w:rsid w:val="001F1CC8"/>
    <w:rsid w:val="001F1F08"/>
    <w:rsid w:val="001F20CF"/>
    <w:rsid w:val="001F2198"/>
    <w:rsid w:val="001F21DD"/>
    <w:rsid w:val="001F23FA"/>
    <w:rsid w:val="001F2A7C"/>
    <w:rsid w:val="001F2B71"/>
    <w:rsid w:val="001F2DCC"/>
    <w:rsid w:val="001F3033"/>
    <w:rsid w:val="001F319B"/>
    <w:rsid w:val="001F3327"/>
    <w:rsid w:val="001F3635"/>
    <w:rsid w:val="001F38B7"/>
    <w:rsid w:val="001F3902"/>
    <w:rsid w:val="001F3A08"/>
    <w:rsid w:val="001F3D59"/>
    <w:rsid w:val="001F3DEB"/>
    <w:rsid w:val="001F3F5A"/>
    <w:rsid w:val="001F4507"/>
    <w:rsid w:val="001F4CA5"/>
    <w:rsid w:val="001F4F24"/>
    <w:rsid w:val="001F5115"/>
    <w:rsid w:val="001F56F4"/>
    <w:rsid w:val="001F591B"/>
    <w:rsid w:val="001F59BE"/>
    <w:rsid w:val="001F5A4F"/>
    <w:rsid w:val="001F5C0D"/>
    <w:rsid w:val="001F5DD8"/>
    <w:rsid w:val="001F62A4"/>
    <w:rsid w:val="001F66CC"/>
    <w:rsid w:val="001F6D1E"/>
    <w:rsid w:val="001F6D6F"/>
    <w:rsid w:val="001F6ED5"/>
    <w:rsid w:val="001F7421"/>
    <w:rsid w:val="001F74E0"/>
    <w:rsid w:val="001F7813"/>
    <w:rsid w:val="001F7B6C"/>
    <w:rsid w:val="001F7CCF"/>
    <w:rsid w:val="001F7FC4"/>
    <w:rsid w:val="0020008E"/>
    <w:rsid w:val="002001B8"/>
    <w:rsid w:val="00200533"/>
    <w:rsid w:val="00200C76"/>
    <w:rsid w:val="00200D91"/>
    <w:rsid w:val="0020124C"/>
    <w:rsid w:val="00201AAB"/>
    <w:rsid w:val="00202A9C"/>
    <w:rsid w:val="00202C48"/>
    <w:rsid w:val="00203089"/>
    <w:rsid w:val="002034A2"/>
    <w:rsid w:val="002035F3"/>
    <w:rsid w:val="00203AE2"/>
    <w:rsid w:val="002042C8"/>
    <w:rsid w:val="00204504"/>
    <w:rsid w:val="00204BE8"/>
    <w:rsid w:val="00204C65"/>
    <w:rsid w:val="00204CA9"/>
    <w:rsid w:val="0020501F"/>
    <w:rsid w:val="00205097"/>
    <w:rsid w:val="002050DD"/>
    <w:rsid w:val="0020521A"/>
    <w:rsid w:val="00205FD8"/>
    <w:rsid w:val="00206093"/>
    <w:rsid w:val="00206443"/>
    <w:rsid w:val="00206729"/>
    <w:rsid w:val="00206839"/>
    <w:rsid w:val="002069BA"/>
    <w:rsid w:val="00206B6C"/>
    <w:rsid w:val="00206F37"/>
    <w:rsid w:val="0020785E"/>
    <w:rsid w:val="00210EE4"/>
    <w:rsid w:val="00211688"/>
    <w:rsid w:val="00211A42"/>
    <w:rsid w:val="00211BFB"/>
    <w:rsid w:val="00211CD4"/>
    <w:rsid w:val="00211F73"/>
    <w:rsid w:val="002120FA"/>
    <w:rsid w:val="002123A9"/>
    <w:rsid w:val="0021247F"/>
    <w:rsid w:val="002124F4"/>
    <w:rsid w:val="00212C8F"/>
    <w:rsid w:val="00212F3D"/>
    <w:rsid w:val="00213611"/>
    <w:rsid w:val="00213A6F"/>
    <w:rsid w:val="00213C65"/>
    <w:rsid w:val="002144F0"/>
    <w:rsid w:val="00214D0D"/>
    <w:rsid w:val="00214E3D"/>
    <w:rsid w:val="00215339"/>
    <w:rsid w:val="00215AA3"/>
    <w:rsid w:val="00215EFF"/>
    <w:rsid w:val="00216083"/>
    <w:rsid w:val="002165F0"/>
    <w:rsid w:val="00216979"/>
    <w:rsid w:val="00216CFD"/>
    <w:rsid w:val="002172C5"/>
    <w:rsid w:val="00217367"/>
    <w:rsid w:val="0021742E"/>
    <w:rsid w:val="00217949"/>
    <w:rsid w:val="00217ED6"/>
    <w:rsid w:val="00220455"/>
    <w:rsid w:val="002207E4"/>
    <w:rsid w:val="002209A1"/>
    <w:rsid w:val="00220E23"/>
    <w:rsid w:val="0022145A"/>
    <w:rsid w:val="0022163A"/>
    <w:rsid w:val="002225E6"/>
    <w:rsid w:val="0022271F"/>
    <w:rsid w:val="00222745"/>
    <w:rsid w:val="00222AC2"/>
    <w:rsid w:val="00223118"/>
    <w:rsid w:val="00223213"/>
    <w:rsid w:val="00223712"/>
    <w:rsid w:val="002239B8"/>
    <w:rsid w:val="00223B01"/>
    <w:rsid w:val="00223BC6"/>
    <w:rsid w:val="00223C19"/>
    <w:rsid w:val="00223CCB"/>
    <w:rsid w:val="00223D65"/>
    <w:rsid w:val="00224065"/>
    <w:rsid w:val="0022433D"/>
    <w:rsid w:val="002243E1"/>
    <w:rsid w:val="00224400"/>
    <w:rsid w:val="002247CB"/>
    <w:rsid w:val="002248D0"/>
    <w:rsid w:val="00224B86"/>
    <w:rsid w:val="00225205"/>
    <w:rsid w:val="002253AA"/>
    <w:rsid w:val="002256AC"/>
    <w:rsid w:val="00225A77"/>
    <w:rsid w:val="002260B4"/>
    <w:rsid w:val="0022640B"/>
    <w:rsid w:val="002264F9"/>
    <w:rsid w:val="00226D82"/>
    <w:rsid w:val="002273E6"/>
    <w:rsid w:val="00227A83"/>
    <w:rsid w:val="00227AEB"/>
    <w:rsid w:val="002307EA"/>
    <w:rsid w:val="00230E95"/>
    <w:rsid w:val="00231507"/>
    <w:rsid w:val="0023179E"/>
    <w:rsid w:val="00231B18"/>
    <w:rsid w:val="00231B46"/>
    <w:rsid w:val="00231D09"/>
    <w:rsid w:val="00232375"/>
    <w:rsid w:val="002324B6"/>
    <w:rsid w:val="0023257F"/>
    <w:rsid w:val="00232D59"/>
    <w:rsid w:val="00233402"/>
    <w:rsid w:val="0023357B"/>
    <w:rsid w:val="002337A5"/>
    <w:rsid w:val="00233A46"/>
    <w:rsid w:val="00233D70"/>
    <w:rsid w:val="00233FD1"/>
    <w:rsid w:val="002343CA"/>
    <w:rsid w:val="0023489A"/>
    <w:rsid w:val="00235329"/>
    <w:rsid w:val="00235500"/>
    <w:rsid w:val="00235F5B"/>
    <w:rsid w:val="002364C4"/>
    <w:rsid w:val="00236512"/>
    <w:rsid w:val="0023664E"/>
    <w:rsid w:val="002367A9"/>
    <w:rsid w:val="00237096"/>
    <w:rsid w:val="002370B5"/>
    <w:rsid w:val="00237370"/>
    <w:rsid w:val="00237667"/>
    <w:rsid w:val="00237D13"/>
    <w:rsid w:val="002400AD"/>
    <w:rsid w:val="00240856"/>
    <w:rsid w:val="002409C5"/>
    <w:rsid w:val="00240A81"/>
    <w:rsid w:val="00240F1E"/>
    <w:rsid w:val="00241586"/>
    <w:rsid w:val="0024199C"/>
    <w:rsid w:val="0024201A"/>
    <w:rsid w:val="00242070"/>
    <w:rsid w:val="00242268"/>
    <w:rsid w:val="0024242E"/>
    <w:rsid w:val="0024257B"/>
    <w:rsid w:val="002425D3"/>
    <w:rsid w:val="002429F2"/>
    <w:rsid w:val="0024464C"/>
    <w:rsid w:val="002449F0"/>
    <w:rsid w:val="00244AA3"/>
    <w:rsid w:val="00244AC9"/>
    <w:rsid w:val="00244AF9"/>
    <w:rsid w:val="00244C3F"/>
    <w:rsid w:val="00244E85"/>
    <w:rsid w:val="002454C4"/>
    <w:rsid w:val="0024550D"/>
    <w:rsid w:val="00245D8F"/>
    <w:rsid w:val="0024633A"/>
    <w:rsid w:val="00246E01"/>
    <w:rsid w:val="00247085"/>
    <w:rsid w:val="00247176"/>
    <w:rsid w:val="00247669"/>
    <w:rsid w:val="002478D6"/>
    <w:rsid w:val="00247AD2"/>
    <w:rsid w:val="00247E26"/>
    <w:rsid w:val="002506E2"/>
    <w:rsid w:val="0025152D"/>
    <w:rsid w:val="002522BF"/>
    <w:rsid w:val="002525B8"/>
    <w:rsid w:val="0025264E"/>
    <w:rsid w:val="0025284F"/>
    <w:rsid w:val="00252BCF"/>
    <w:rsid w:val="00253150"/>
    <w:rsid w:val="002533E0"/>
    <w:rsid w:val="00254C4A"/>
    <w:rsid w:val="002551CE"/>
    <w:rsid w:val="002555A9"/>
    <w:rsid w:val="002555E1"/>
    <w:rsid w:val="00255769"/>
    <w:rsid w:val="00255F92"/>
    <w:rsid w:val="002563A9"/>
    <w:rsid w:val="002570BD"/>
    <w:rsid w:val="00257304"/>
    <w:rsid w:val="00257412"/>
    <w:rsid w:val="0025797A"/>
    <w:rsid w:val="002600C3"/>
    <w:rsid w:val="0026013E"/>
    <w:rsid w:val="0026020E"/>
    <w:rsid w:val="002603BB"/>
    <w:rsid w:val="00260949"/>
    <w:rsid w:val="00260F50"/>
    <w:rsid w:val="00260F5C"/>
    <w:rsid w:val="0026119D"/>
    <w:rsid w:val="0026135E"/>
    <w:rsid w:val="0026141E"/>
    <w:rsid w:val="00261626"/>
    <w:rsid w:val="00261706"/>
    <w:rsid w:val="0026189B"/>
    <w:rsid w:val="00261A42"/>
    <w:rsid w:val="00261B2F"/>
    <w:rsid w:val="00261F40"/>
    <w:rsid w:val="00262224"/>
    <w:rsid w:val="00262597"/>
    <w:rsid w:val="00262886"/>
    <w:rsid w:val="00262889"/>
    <w:rsid w:val="00262901"/>
    <w:rsid w:val="00262BE2"/>
    <w:rsid w:val="00262F0F"/>
    <w:rsid w:val="00262F5D"/>
    <w:rsid w:val="002631F2"/>
    <w:rsid w:val="00263312"/>
    <w:rsid w:val="00264407"/>
    <w:rsid w:val="00264649"/>
    <w:rsid w:val="002649A9"/>
    <w:rsid w:val="00264BFC"/>
    <w:rsid w:val="00265738"/>
    <w:rsid w:val="00265CED"/>
    <w:rsid w:val="002668FB"/>
    <w:rsid w:val="00266C37"/>
    <w:rsid w:val="00266FD0"/>
    <w:rsid w:val="00267056"/>
    <w:rsid w:val="00267573"/>
    <w:rsid w:val="002677D7"/>
    <w:rsid w:val="00267A3C"/>
    <w:rsid w:val="00267E28"/>
    <w:rsid w:val="002700F7"/>
    <w:rsid w:val="00271090"/>
    <w:rsid w:val="00271280"/>
    <w:rsid w:val="00271968"/>
    <w:rsid w:val="00271AC3"/>
    <w:rsid w:val="00271CC9"/>
    <w:rsid w:val="00272073"/>
    <w:rsid w:val="002723AE"/>
    <w:rsid w:val="0027268F"/>
    <w:rsid w:val="00272773"/>
    <w:rsid w:val="00272F16"/>
    <w:rsid w:val="00272FBF"/>
    <w:rsid w:val="00273053"/>
    <w:rsid w:val="00273670"/>
    <w:rsid w:val="00273693"/>
    <w:rsid w:val="002737E8"/>
    <w:rsid w:val="0027420B"/>
    <w:rsid w:val="0027443A"/>
    <w:rsid w:val="002748D0"/>
    <w:rsid w:val="00274AC9"/>
    <w:rsid w:val="00274B43"/>
    <w:rsid w:val="00274D97"/>
    <w:rsid w:val="00274DB6"/>
    <w:rsid w:val="002754E4"/>
    <w:rsid w:val="00275840"/>
    <w:rsid w:val="00275986"/>
    <w:rsid w:val="00275988"/>
    <w:rsid w:val="00275DD4"/>
    <w:rsid w:val="0027646B"/>
    <w:rsid w:val="0027695D"/>
    <w:rsid w:val="00276C7B"/>
    <w:rsid w:val="00276D53"/>
    <w:rsid w:val="00276E38"/>
    <w:rsid w:val="00276EF3"/>
    <w:rsid w:val="00277604"/>
    <w:rsid w:val="00277809"/>
    <w:rsid w:val="002778D0"/>
    <w:rsid w:val="00277980"/>
    <w:rsid w:val="002779A1"/>
    <w:rsid w:val="00277B59"/>
    <w:rsid w:val="00277D03"/>
    <w:rsid w:val="0028078B"/>
    <w:rsid w:val="00280906"/>
    <w:rsid w:val="00280BF9"/>
    <w:rsid w:val="00280FB3"/>
    <w:rsid w:val="002810F8"/>
    <w:rsid w:val="00281625"/>
    <w:rsid w:val="002818FC"/>
    <w:rsid w:val="00281F58"/>
    <w:rsid w:val="0028253E"/>
    <w:rsid w:val="00282540"/>
    <w:rsid w:val="0028266A"/>
    <w:rsid w:val="00282A38"/>
    <w:rsid w:val="00282ADF"/>
    <w:rsid w:val="00283129"/>
    <w:rsid w:val="0028326C"/>
    <w:rsid w:val="00283D00"/>
    <w:rsid w:val="00283E2C"/>
    <w:rsid w:val="002841B9"/>
    <w:rsid w:val="00284385"/>
    <w:rsid w:val="002846C7"/>
    <w:rsid w:val="00284962"/>
    <w:rsid w:val="00284EC7"/>
    <w:rsid w:val="00285A9B"/>
    <w:rsid w:val="00285CA2"/>
    <w:rsid w:val="0028692A"/>
    <w:rsid w:val="00286E30"/>
    <w:rsid w:val="00287654"/>
    <w:rsid w:val="00287BEF"/>
    <w:rsid w:val="00287E98"/>
    <w:rsid w:val="00290066"/>
    <w:rsid w:val="00290208"/>
    <w:rsid w:val="0029034B"/>
    <w:rsid w:val="002903BA"/>
    <w:rsid w:val="00290891"/>
    <w:rsid w:val="002909BF"/>
    <w:rsid w:val="00290D3A"/>
    <w:rsid w:val="0029104E"/>
    <w:rsid w:val="0029115C"/>
    <w:rsid w:val="002913DC"/>
    <w:rsid w:val="0029141C"/>
    <w:rsid w:val="00291BB6"/>
    <w:rsid w:val="002920E2"/>
    <w:rsid w:val="00292114"/>
    <w:rsid w:val="00292172"/>
    <w:rsid w:val="00292552"/>
    <w:rsid w:val="00292BE6"/>
    <w:rsid w:val="00292C0D"/>
    <w:rsid w:val="00292EA9"/>
    <w:rsid w:val="002930B5"/>
    <w:rsid w:val="00293727"/>
    <w:rsid w:val="00293988"/>
    <w:rsid w:val="00293AAE"/>
    <w:rsid w:val="00293B5F"/>
    <w:rsid w:val="0029420F"/>
    <w:rsid w:val="002943FA"/>
    <w:rsid w:val="00294505"/>
    <w:rsid w:val="002948A6"/>
    <w:rsid w:val="00294B16"/>
    <w:rsid w:val="00294DE3"/>
    <w:rsid w:val="00294EA8"/>
    <w:rsid w:val="00295114"/>
    <w:rsid w:val="00295425"/>
    <w:rsid w:val="002954CC"/>
    <w:rsid w:val="00296450"/>
    <w:rsid w:val="00296581"/>
    <w:rsid w:val="00296D13"/>
    <w:rsid w:val="00297E6A"/>
    <w:rsid w:val="00297E9B"/>
    <w:rsid w:val="002A066E"/>
    <w:rsid w:val="002A1092"/>
    <w:rsid w:val="002A14FF"/>
    <w:rsid w:val="002A180E"/>
    <w:rsid w:val="002A19A4"/>
    <w:rsid w:val="002A1BDC"/>
    <w:rsid w:val="002A1F52"/>
    <w:rsid w:val="002A2132"/>
    <w:rsid w:val="002A2697"/>
    <w:rsid w:val="002A27F7"/>
    <w:rsid w:val="002A299C"/>
    <w:rsid w:val="002A2B4B"/>
    <w:rsid w:val="002A33F7"/>
    <w:rsid w:val="002A4305"/>
    <w:rsid w:val="002A4655"/>
    <w:rsid w:val="002A46EF"/>
    <w:rsid w:val="002A519E"/>
    <w:rsid w:val="002A521A"/>
    <w:rsid w:val="002A5345"/>
    <w:rsid w:val="002A5616"/>
    <w:rsid w:val="002A5683"/>
    <w:rsid w:val="002A5BDE"/>
    <w:rsid w:val="002A609F"/>
    <w:rsid w:val="002A63C6"/>
    <w:rsid w:val="002A66D6"/>
    <w:rsid w:val="002A67AE"/>
    <w:rsid w:val="002A6AB0"/>
    <w:rsid w:val="002A724E"/>
    <w:rsid w:val="002A7676"/>
    <w:rsid w:val="002A7AEC"/>
    <w:rsid w:val="002A7D11"/>
    <w:rsid w:val="002A7E80"/>
    <w:rsid w:val="002B041D"/>
    <w:rsid w:val="002B0F02"/>
    <w:rsid w:val="002B141B"/>
    <w:rsid w:val="002B2FBB"/>
    <w:rsid w:val="002B30B6"/>
    <w:rsid w:val="002B342B"/>
    <w:rsid w:val="002B3867"/>
    <w:rsid w:val="002B3AC5"/>
    <w:rsid w:val="002B452E"/>
    <w:rsid w:val="002B4719"/>
    <w:rsid w:val="002B4837"/>
    <w:rsid w:val="002B4937"/>
    <w:rsid w:val="002B4C1D"/>
    <w:rsid w:val="002B4E95"/>
    <w:rsid w:val="002B53D7"/>
    <w:rsid w:val="002B55DA"/>
    <w:rsid w:val="002B5C57"/>
    <w:rsid w:val="002B5C81"/>
    <w:rsid w:val="002B5E39"/>
    <w:rsid w:val="002B63EB"/>
    <w:rsid w:val="002B6BB1"/>
    <w:rsid w:val="002B6EF6"/>
    <w:rsid w:val="002B7686"/>
    <w:rsid w:val="002B7715"/>
    <w:rsid w:val="002B7744"/>
    <w:rsid w:val="002C079F"/>
    <w:rsid w:val="002C07B4"/>
    <w:rsid w:val="002C1004"/>
    <w:rsid w:val="002C15D0"/>
    <w:rsid w:val="002C1C81"/>
    <w:rsid w:val="002C33CC"/>
    <w:rsid w:val="002C386F"/>
    <w:rsid w:val="002C40C4"/>
    <w:rsid w:val="002C479C"/>
    <w:rsid w:val="002C4859"/>
    <w:rsid w:val="002C4A7A"/>
    <w:rsid w:val="002C4C33"/>
    <w:rsid w:val="002C504C"/>
    <w:rsid w:val="002C539C"/>
    <w:rsid w:val="002C56B7"/>
    <w:rsid w:val="002C6D15"/>
    <w:rsid w:val="002C73B5"/>
    <w:rsid w:val="002C7880"/>
    <w:rsid w:val="002C7A96"/>
    <w:rsid w:val="002C7CD2"/>
    <w:rsid w:val="002D1700"/>
    <w:rsid w:val="002D1814"/>
    <w:rsid w:val="002D1B5B"/>
    <w:rsid w:val="002D20BD"/>
    <w:rsid w:val="002D23C7"/>
    <w:rsid w:val="002D26B9"/>
    <w:rsid w:val="002D2A46"/>
    <w:rsid w:val="002D35B3"/>
    <w:rsid w:val="002D3A64"/>
    <w:rsid w:val="002D4225"/>
    <w:rsid w:val="002D4408"/>
    <w:rsid w:val="002D4768"/>
    <w:rsid w:val="002D4BD8"/>
    <w:rsid w:val="002D599A"/>
    <w:rsid w:val="002D5AA7"/>
    <w:rsid w:val="002D5AD6"/>
    <w:rsid w:val="002D5CE6"/>
    <w:rsid w:val="002D5ED2"/>
    <w:rsid w:val="002D5F5D"/>
    <w:rsid w:val="002D5F7A"/>
    <w:rsid w:val="002D63BF"/>
    <w:rsid w:val="002D63F6"/>
    <w:rsid w:val="002D6459"/>
    <w:rsid w:val="002D651A"/>
    <w:rsid w:val="002D693E"/>
    <w:rsid w:val="002D6B9B"/>
    <w:rsid w:val="002D7398"/>
    <w:rsid w:val="002D73D8"/>
    <w:rsid w:val="002D7455"/>
    <w:rsid w:val="002D7456"/>
    <w:rsid w:val="002D7832"/>
    <w:rsid w:val="002D79BD"/>
    <w:rsid w:val="002D7AB9"/>
    <w:rsid w:val="002E0235"/>
    <w:rsid w:val="002E0670"/>
    <w:rsid w:val="002E069A"/>
    <w:rsid w:val="002E06B0"/>
    <w:rsid w:val="002E0A8E"/>
    <w:rsid w:val="002E0B39"/>
    <w:rsid w:val="002E0F9B"/>
    <w:rsid w:val="002E0F9F"/>
    <w:rsid w:val="002E1013"/>
    <w:rsid w:val="002E1297"/>
    <w:rsid w:val="002E15D1"/>
    <w:rsid w:val="002E1882"/>
    <w:rsid w:val="002E19D4"/>
    <w:rsid w:val="002E1B2E"/>
    <w:rsid w:val="002E1E76"/>
    <w:rsid w:val="002E23F7"/>
    <w:rsid w:val="002E2E6B"/>
    <w:rsid w:val="002E3133"/>
    <w:rsid w:val="002E3217"/>
    <w:rsid w:val="002E3343"/>
    <w:rsid w:val="002E338C"/>
    <w:rsid w:val="002E3467"/>
    <w:rsid w:val="002E361A"/>
    <w:rsid w:val="002E367B"/>
    <w:rsid w:val="002E36D5"/>
    <w:rsid w:val="002E387F"/>
    <w:rsid w:val="002E4355"/>
    <w:rsid w:val="002E4439"/>
    <w:rsid w:val="002E485D"/>
    <w:rsid w:val="002E4F4B"/>
    <w:rsid w:val="002E5006"/>
    <w:rsid w:val="002E520C"/>
    <w:rsid w:val="002E5A80"/>
    <w:rsid w:val="002E5BA6"/>
    <w:rsid w:val="002E5F03"/>
    <w:rsid w:val="002E6687"/>
    <w:rsid w:val="002E68DB"/>
    <w:rsid w:val="002E6918"/>
    <w:rsid w:val="002E6B16"/>
    <w:rsid w:val="002E6CB8"/>
    <w:rsid w:val="002E6F3F"/>
    <w:rsid w:val="002E76B3"/>
    <w:rsid w:val="002E785F"/>
    <w:rsid w:val="002E787D"/>
    <w:rsid w:val="002E78A2"/>
    <w:rsid w:val="002E7FC8"/>
    <w:rsid w:val="002F0051"/>
    <w:rsid w:val="002F05E3"/>
    <w:rsid w:val="002F0667"/>
    <w:rsid w:val="002F096E"/>
    <w:rsid w:val="002F18DD"/>
    <w:rsid w:val="002F19B4"/>
    <w:rsid w:val="002F19C4"/>
    <w:rsid w:val="002F1B1C"/>
    <w:rsid w:val="002F1C70"/>
    <w:rsid w:val="002F1C8C"/>
    <w:rsid w:val="002F1D2B"/>
    <w:rsid w:val="002F1E47"/>
    <w:rsid w:val="002F1ED1"/>
    <w:rsid w:val="002F2188"/>
    <w:rsid w:val="002F2717"/>
    <w:rsid w:val="002F28D1"/>
    <w:rsid w:val="002F294E"/>
    <w:rsid w:val="002F2B29"/>
    <w:rsid w:val="002F2E7C"/>
    <w:rsid w:val="002F2FB7"/>
    <w:rsid w:val="002F371C"/>
    <w:rsid w:val="002F39D5"/>
    <w:rsid w:val="002F3BC1"/>
    <w:rsid w:val="002F4057"/>
    <w:rsid w:val="002F4140"/>
    <w:rsid w:val="002F43FF"/>
    <w:rsid w:val="002F497E"/>
    <w:rsid w:val="002F50D1"/>
    <w:rsid w:val="002F54A8"/>
    <w:rsid w:val="002F5A25"/>
    <w:rsid w:val="002F5B82"/>
    <w:rsid w:val="002F5F65"/>
    <w:rsid w:val="002F6554"/>
    <w:rsid w:val="002F6626"/>
    <w:rsid w:val="002F67C1"/>
    <w:rsid w:val="002F6998"/>
    <w:rsid w:val="002F6A89"/>
    <w:rsid w:val="002F6B84"/>
    <w:rsid w:val="002F70A5"/>
    <w:rsid w:val="002F7328"/>
    <w:rsid w:val="002F7815"/>
    <w:rsid w:val="002F7830"/>
    <w:rsid w:val="002F7A20"/>
    <w:rsid w:val="002F7B1D"/>
    <w:rsid w:val="00300587"/>
    <w:rsid w:val="00300C71"/>
    <w:rsid w:val="00300F28"/>
    <w:rsid w:val="00300F75"/>
    <w:rsid w:val="003015E6"/>
    <w:rsid w:val="00301F34"/>
    <w:rsid w:val="003020F3"/>
    <w:rsid w:val="00302E02"/>
    <w:rsid w:val="00302F51"/>
    <w:rsid w:val="0030337C"/>
    <w:rsid w:val="00303AA6"/>
    <w:rsid w:val="00303C13"/>
    <w:rsid w:val="00303E77"/>
    <w:rsid w:val="00303EE0"/>
    <w:rsid w:val="003042A6"/>
    <w:rsid w:val="00304362"/>
    <w:rsid w:val="003047AD"/>
    <w:rsid w:val="00304895"/>
    <w:rsid w:val="00304D8B"/>
    <w:rsid w:val="00304EBF"/>
    <w:rsid w:val="00304FF8"/>
    <w:rsid w:val="00305324"/>
    <w:rsid w:val="003053D9"/>
    <w:rsid w:val="00305959"/>
    <w:rsid w:val="00305DC4"/>
    <w:rsid w:val="00306D25"/>
    <w:rsid w:val="003070D0"/>
    <w:rsid w:val="0030717D"/>
    <w:rsid w:val="003076C1"/>
    <w:rsid w:val="00307AC5"/>
    <w:rsid w:val="00307CC4"/>
    <w:rsid w:val="00307E55"/>
    <w:rsid w:val="00307F80"/>
    <w:rsid w:val="00310010"/>
    <w:rsid w:val="003103DA"/>
    <w:rsid w:val="0031057B"/>
    <w:rsid w:val="00310A9F"/>
    <w:rsid w:val="00310AD0"/>
    <w:rsid w:val="00310C8C"/>
    <w:rsid w:val="003110CD"/>
    <w:rsid w:val="00311269"/>
    <w:rsid w:val="003113E4"/>
    <w:rsid w:val="0031141A"/>
    <w:rsid w:val="00311A5F"/>
    <w:rsid w:val="00312587"/>
    <w:rsid w:val="0031261B"/>
    <w:rsid w:val="003129CF"/>
    <w:rsid w:val="00312A6C"/>
    <w:rsid w:val="00312D91"/>
    <w:rsid w:val="00312F93"/>
    <w:rsid w:val="003131BC"/>
    <w:rsid w:val="00313519"/>
    <w:rsid w:val="003137F4"/>
    <w:rsid w:val="003138EB"/>
    <w:rsid w:val="003143F6"/>
    <w:rsid w:val="00314FFE"/>
    <w:rsid w:val="003156B9"/>
    <w:rsid w:val="00315B2A"/>
    <w:rsid w:val="00315C85"/>
    <w:rsid w:val="0031677D"/>
    <w:rsid w:val="00316D60"/>
    <w:rsid w:val="00317852"/>
    <w:rsid w:val="00320298"/>
    <w:rsid w:val="003202D3"/>
    <w:rsid w:val="00320742"/>
    <w:rsid w:val="00321A82"/>
    <w:rsid w:val="00321C25"/>
    <w:rsid w:val="00321E66"/>
    <w:rsid w:val="003220B7"/>
    <w:rsid w:val="00322147"/>
    <w:rsid w:val="00322236"/>
    <w:rsid w:val="003223A7"/>
    <w:rsid w:val="00322A0B"/>
    <w:rsid w:val="00323135"/>
    <w:rsid w:val="00323263"/>
    <w:rsid w:val="00323375"/>
    <w:rsid w:val="00323FC6"/>
    <w:rsid w:val="00324AFB"/>
    <w:rsid w:val="00324E87"/>
    <w:rsid w:val="0032517E"/>
    <w:rsid w:val="003252F9"/>
    <w:rsid w:val="0032581F"/>
    <w:rsid w:val="00325CFD"/>
    <w:rsid w:val="00326B45"/>
    <w:rsid w:val="00326B5F"/>
    <w:rsid w:val="00326C47"/>
    <w:rsid w:val="00326D6B"/>
    <w:rsid w:val="003277F6"/>
    <w:rsid w:val="00327DF0"/>
    <w:rsid w:val="00330599"/>
    <w:rsid w:val="00330A11"/>
    <w:rsid w:val="00330C2D"/>
    <w:rsid w:val="00330CB4"/>
    <w:rsid w:val="0033146F"/>
    <w:rsid w:val="0033148C"/>
    <w:rsid w:val="003322A2"/>
    <w:rsid w:val="00332691"/>
    <w:rsid w:val="00333219"/>
    <w:rsid w:val="003332FC"/>
    <w:rsid w:val="0033332D"/>
    <w:rsid w:val="00333A56"/>
    <w:rsid w:val="00334119"/>
    <w:rsid w:val="003341E4"/>
    <w:rsid w:val="00334D21"/>
    <w:rsid w:val="00334E04"/>
    <w:rsid w:val="00335317"/>
    <w:rsid w:val="003353C3"/>
    <w:rsid w:val="00335484"/>
    <w:rsid w:val="0033574A"/>
    <w:rsid w:val="003358C6"/>
    <w:rsid w:val="00335902"/>
    <w:rsid w:val="00335C4E"/>
    <w:rsid w:val="00335EBA"/>
    <w:rsid w:val="003361E8"/>
    <w:rsid w:val="00336558"/>
    <w:rsid w:val="003367F7"/>
    <w:rsid w:val="00337544"/>
    <w:rsid w:val="00337613"/>
    <w:rsid w:val="00337820"/>
    <w:rsid w:val="00337F6A"/>
    <w:rsid w:val="003400E5"/>
    <w:rsid w:val="00340532"/>
    <w:rsid w:val="00340992"/>
    <w:rsid w:val="00340BDA"/>
    <w:rsid w:val="00340CD1"/>
    <w:rsid w:val="00340F2A"/>
    <w:rsid w:val="003411E3"/>
    <w:rsid w:val="003413F9"/>
    <w:rsid w:val="003415B6"/>
    <w:rsid w:val="003418B1"/>
    <w:rsid w:val="00341A65"/>
    <w:rsid w:val="003421EC"/>
    <w:rsid w:val="00342554"/>
    <w:rsid w:val="00342584"/>
    <w:rsid w:val="003427CA"/>
    <w:rsid w:val="003429B3"/>
    <w:rsid w:val="003429F3"/>
    <w:rsid w:val="00342C86"/>
    <w:rsid w:val="00342EE3"/>
    <w:rsid w:val="0034316E"/>
    <w:rsid w:val="00343255"/>
    <w:rsid w:val="00343A10"/>
    <w:rsid w:val="00343D0E"/>
    <w:rsid w:val="00344DC4"/>
    <w:rsid w:val="003451A2"/>
    <w:rsid w:val="00345279"/>
    <w:rsid w:val="0034528C"/>
    <w:rsid w:val="00345F66"/>
    <w:rsid w:val="00346004"/>
    <w:rsid w:val="00346249"/>
    <w:rsid w:val="00346298"/>
    <w:rsid w:val="00346BF2"/>
    <w:rsid w:val="0034731D"/>
    <w:rsid w:val="003474AB"/>
    <w:rsid w:val="00347745"/>
    <w:rsid w:val="0034793A"/>
    <w:rsid w:val="00347C8D"/>
    <w:rsid w:val="00347F20"/>
    <w:rsid w:val="003503D5"/>
    <w:rsid w:val="00350473"/>
    <w:rsid w:val="00350BE5"/>
    <w:rsid w:val="00350C49"/>
    <w:rsid w:val="00350FE4"/>
    <w:rsid w:val="00351805"/>
    <w:rsid w:val="003518FC"/>
    <w:rsid w:val="003519B0"/>
    <w:rsid w:val="003519B6"/>
    <w:rsid w:val="00351A64"/>
    <w:rsid w:val="00351BA6"/>
    <w:rsid w:val="00351D29"/>
    <w:rsid w:val="003520DA"/>
    <w:rsid w:val="00352DB1"/>
    <w:rsid w:val="003531B5"/>
    <w:rsid w:val="0035322D"/>
    <w:rsid w:val="00353356"/>
    <w:rsid w:val="00353D15"/>
    <w:rsid w:val="0035437C"/>
    <w:rsid w:val="0035459F"/>
    <w:rsid w:val="0035486A"/>
    <w:rsid w:val="00354C00"/>
    <w:rsid w:val="003551A9"/>
    <w:rsid w:val="003553A0"/>
    <w:rsid w:val="00355CA8"/>
    <w:rsid w:val="00355FEC"/>
    <w:rsid w:val="003560DD"/>
    <w:rsid w:val="003564B2"/>
    <w:rsid w:val="003565DA"/>
    <w:rsid w:val="0035661A"/>
    <w:rsid w:val="0035669D"/>
    <w:rsid w:val="0035698E"/>
    <w:rsid w:val="00356EC8"/>
    <w:rsid w:val="003570B3"/>
    <w:rsid w:val="003576D0"/>
    <w:rsid w:val="003576D3"/>
    <w:rsid w:val="00357E4B"/>
    <w:rsid w:val="0036030C"/>
    <w:rsid w:val="00360649"/>
    <w:rsid w:val="00360872"/>
    <w:rsid w:val="0036089A"/>
    <w:rsid w:val="00360A3B"/>
    <w:rsid w:val="00360E99"/>
    <w:rsid w:val="00362145"/>
    <w:rsid w:val="00362400"/>
    <w:rsid w:val="0036252B"/>
    <w:rsid w:val="00362ACB"/>
    <w:rsid w:val="0036321E"/>
    <w:rsid w:val="003639A3"/>
    <w:rsid w:val="00363D7B"/>
    <w:rsid w:val="00364465"/>
    <w:rsid w:val="00364487"/>
    <w:rsid w:val="00364541"/>
    <w:rsid w:val="00364A49"/>
    <w:rsid w:val="00364AA2"/>
    <w:rsid w:val="00365449"/>
    <w:rsid w:val="0036558D"/>
    <w:rsid w:val="00365D56"/>
    <w:rsid w:val="003661A2"/>
    <w:rsid w:val="00366EE1"/>
    <w:rsid w:val="003672B1"/>
    <w:rsid w:val="003676CE"/>
    <w:rsid w:val="00367BFC"/>
    <w:rsid w:val="00367E17"/>
    <w:rsid w:val="003707A0"/>
    <w:rsid w:val="00370931"/>
    <w:rsid w:val="00370A8E"/>
    <w:rsid w:val="00370B40"/>
    <w:rsid w:val="00371F72"/>
    <w:rsid w:val="00371FC2"/>
    <w:rsid w:val="003722EB"/>
    <w:rsid w:val="0037264A"/>
    <w:rsid w:val="00372C52"/>
    <w:rsid w:val="00373011"/>
    <w:rsid w:val="003733A5"/>
    <w:rsid w:val="00373604"/>
    <w:rsid w:val="0037386C"/>
    <w:rsid w:val="003738FE"/>
    <w:rsid w:val="0037411A"/>
    <w:rsid w:val="00374594"/>
    <w:rsid w:val="003746D0"/>
    <w:rsid w:val="00374E75"/>
    <w:rsid w:val="0037505F"/>
    <w:rsid w:val="0037528D"/>
    <w:rsid w:val="0037546C"/>
    <w:rsid w:val="00375527"/>
    <w:rsid w:val="003755F2"/>
    <w:rsid w:val="003765CC"/>
    <w:rsid w:val="00376600"/>
    <w:rsid w:val="00376750"/>
    <w:rsid w:val="003767E2"/>
    <w:rsid w:val="00376975"/>
    <w:rsid w:val="00376B21"/>
    <w:rsid w:val="00376B22"/>
    <w:rsid w:val="0037752C"/>
    <w:rsid w:val="0037759C"/>
    <w:rsid w:val="003776A3"/>
    <w:rsid w:val="003778BC"/>
    <w:rsid w:val="00377969"/>
    <w:rsid w:val="00377B33"/>
    <w:rsid w:val="00377EC1"/>
    <w:rsid w:val="003804A5"/>
    <w:rsid w:val="00380773"/>
    <w:rsid w:val="00380824"/>
    <w:rsid w:val="00380C51"/>
    <w:rsid w:val="003811AB"/>
    <w:rsid w:val="00381714"/>
    <w:rsid w:val="00381E47"/>
    <w:rsid w:val="003821E4"/>
    <w:rsid w:val="003822BB"/>
    <w:rsid w:val="00382317"/>
    <w:rsid w:val="00382895"/>
    <w:rsid w:val="003834D2"/>
    <w:rsid w:val="0038385D"/>
    <w:rsid w:val="0038389D"/>
    <w:rsid w:val="00383C27"/>
    <w:rsid w:val="00383F8A"/>
    <w:rsid w:val="003842F9"/>
    <w:rsid w:val="00384364"/>
    <w:rsid w:val="00384569"/>
    <w:rsid w:val="00384A27"/>
    <w:rsid w:val="00385184"/>
    <w:rsid w:val="00385762"/>
    <w:rsid w:val="00385EBD"/>
    <w:rsid w:val="0038623D"/>
    <w:rsid w:val="00386715"/>
    <w:rsid w:val="003867FB"/>
    <w:rsid w:val="0038693F"/>
    <w:rsid w:val="003869A7"/>
    <w:rsid w:val="00386C5A"/>
    <w:rsid w:val="00386F34"/>
    <w:rsid w:val="00387253"/>
    <w:rsid w:val="003873B7"/>
    <w:rsid w:val="0038742D"/>
    <w:rsid w:val="00387F01"/>
    <w:rsid w:val="00390730"/>
    <w:rsid w:val="00390E72"/>
    <w:rsid w:val="00390E8F"/>
    <w:rsid w:val="00391020"/>
    <w:rsid w:val="003910CE"/>
    <w:rsid w:val="00391185"/>
    <w:rsid w:val="00391380"/>
    <w:rsid w:val="00391A05"/>
    <w:rsid w:val="00391AC5"/>
    <w:rsid w:val="00391C94"/>
    <w:rsid w:val="00391F11"/>
    <w:rsid w:val="00392526"/>
    <w:rsid w:val="00392771"/>
    <w:rsid w:val="003928BC"/>
    <w:rsid w:val="00392A77"/>
    <w:rsid w:val="00392C97"/>
    <w:rsid w:val="00392F0F"/>
    <w:rsid w:val="0039340D"/>
    <w:rsid w:val="003939D0"/>
    <w:rsid w:val="00393F9B"/>
    <w:rsid w:val="00394048"/>
    <w:rsid w:val="003942AF"/>
    <w:rsid w:val="0039434A"/>
    <w:rsid w:val="0039439F"/>
    <w:rsid w:val="0039445E"/>
    <w:rsid w:val="00394CBF"/>
    <w:rsid w:val="00394CFC"/>
    <w:rsid w:val="00395661"/>
    <w:rsid w:val="00396688"/>
    <w:rsid w:val="00396798"/>
    <w:rsid w:val="00396809"/>
    <w:rsid w:val="00396DB0"/>
    <w:rsid w:val="00396EC6"/>
    <w:rsid w:val="003974AA"/>
    <w:rsid w:val="00397E56"/>
    <w:rsid w:val="003A05BA"/>
    <w:rsid w:val="003A05C8"/>
    <w:rsid w:val="003A0A47"/>
    <w:rsid w:val="003A0BFB"/>
    <w:rsid w:val="003A0FD6"/>
    <w:rsid w:val="003A16D2"/>
    <w:rsid w:val="003A1C10"/>
    <w:rsid w:val="003A1DCC"/>
    <w:rsid w:val="003A20C2"/>
    <w:rsid w:val="003A2251"/>
    <w:rsid w:val="003A246A"/>
    <w:rsid w:val="003A2E75"/>
    <w:rsid w:val="003A3144"/>
    <w:rsid w:val="003A3C79"/>
    <w:rsid w:val="003A3CED"/>
    <w:rsid w:val="003A4112"/>
    <w:rsid w:val="003A415C"/>
    <w:rsid w:val="003A4577"/>
    <w:rsid w:val="003A45B6"/>
    <w:rsid w:val="003A498D"/>
    <w:rsid w:val="003A50D2"/>
    <w:rsid w:val="003A51E7"/>
    <w:rsid w:val="003A542C"/>
    <w:rsid w:val="003A5B91"/>
    <w:rsid w:val="003A64FB"/>
    <w:rsid w:val="003A6880"/>
    <w:rsid w:val="003A68DA"/>
    <w:rsid w:val="003A6A03"/>
    <w:rsid w:val="003A7029"/>
    <w:rsid w:val="003A7241"/>
    <w:rsid w:val="003A7D3B"/>
    <w:rsid w:val="003B0100"/>
    <w:rsid w:val="003B01EF"/>
    <w:rsid w:val="003B0215"/>
    <w:rsid w:val="003B03A2"/>
    <w:rsid w:val="003B04B7"/>
    <w:rsid w:val="003B05A5"/>
    <w:rsid w:val="003B06C4"/>
    <w:rsid w:val="003B078D"/>
    <w:rsid w:val="003B103F"/>
    <w:rsid w:val="003B18CD"/>
    <w:rsid w:val="003B19DE"/>
    <w:rsid w:val="003B1FAA"/>
    <w:rsid w:val="003B2131"/>
    <w:rsid w:val="003B2888"/>
    <w:rsid w:val="003B2A33"/>
    <w:rsid w:val="003B2E35"/>
    <w:rsid w:val="003B3055"/>
    <w:rsid w:val="003B3730"/>
    <w:rsid w:val="003B38B9"/>
    <w:rsid w:val="003B3F51"/>
    <w:rsid w:val="003B4876"/>
    <w:rsid w:val="003B4B3B"/>
    <w:rsid w:val="003B50B9"/>
    <w:rsid w:val="003B510B"/>
    <w:rsid w:val="003B5409"/>
    <w:rsid w:val="003B5521"/>
    <w:rsid w:val="003B5B84"/>
    <w:rsid w:val="003B5B8D"/>
    <w:rsid w:val="003B5CAB"/>
    <w:rsid w:val="003B6065"/>
    <w:rsid w:val="003B62BC"/>
    <w:rsid w:val="003B6305"/>
    <w:rsid w:val="003B7647"/>
    <w:rsid w:val="003B7B4C"/>
    <w:rsid w:val="003B7B70"/>
    <w:rsid w:val="003B7D79"/>
    <w:rsid w:val="003C01F6"/>
    <w:rsid w:val="003C0C44"/>
    <w:rsid w:val="003C0CB9"/>
    <w:rsid w:val="003C10DE"/>
    <w:rsid w:val="003C15D3"/>
    <w:rsid w:val="003C17B9"/>
    <w:rsid w:val="003C1955"/>
    <w:rsid w:val="003C1B00"/>
    <w:rsid w:val="003C2186"/>
    <w:rsid w:val="003C23CE"/>
    <w:rsid w:val="003C243B"/>
    <w:rsid w:val="003C28C9"/>
    <w:rsid w:val="003C2A0C"/>
    <w:rsid w:val="003C3839"/>
    <w:rsid w:val="003C3F51"/>
    <w:rsid w:val="003C3F83"/>
    <w:rsid w:val="003C40E3"/>
    <w:rsid w:val="003C44BB"/>
    <w:rsid w:val="003C46E1"/>
    <w:rsid w:val="003C47DA"/>
    <w:rsid w:val="003C4967"/>
    <w:rsid w:val="003C4BFC"/>
    <w:rsid w:val="003C4E06"/>
    <w:rsid w:val="003C50F6"/>
    <w:rsid w:val="003C5156"/>
    <w:rsid w:val="003C53A3"/>
    <w:rsid w:val="003C5CEC"/>
    <w:rsid w:val="003C6557"/>
    <w:rsid w:val="003C65AA"/>
    <w:rsid w:val="003C68B3"/>
    <w:rsid w:val="003C6A13"/>
    <w:rsid w:val="003C6B87"/>
    <w:rsid w:val="003C7021"/>
    <w:rsid w:val="003C716D"/>
    <w:rsid w:val="003C779C"/>
    <w:rsid w:val="003C77B4"/>
    <w:rsid w:val="003C7929"/>
    <w:rsid w:val="003C7BC0"/>
    <w:rsid w:val="003C7EB0"/>
    <w:rsid w:val="003C7EFC"/>
    <w:rsid w:val="003D091F"/>
    <w:rsid w:val="003D0E14"/>
    <w:rsid w:val="003D11A8"/>
    <w:rsid w:val="003D1399"/>
    <w:rsid w:val="003D1621"/>
    <w:rsid w:val="003D16CC"/>
    <w:rsid w:val="003D176C"/>
    <w:rsid w:val="003D1FC1"/>
    <w:rsid w:val="003D213B"/>
    <w:rsid w:val="003D2380"/>
    <w:rsid w:val="003D2654"/>
    <w:rsid w:val="003D2A04"/>
    <w:rsid w:val="003D2CEE"/>
    <w:rsid w:val="003D2CFA"/>
    <w:rsid w:val="003D2F73"/>
    <w:rsid w:val="003D3595"/>
    <w:rsid w:val="003D3662"/>
    <w:rsid w:val="003D3AEA"/>
    <w:rsid w:val="003D3F9F"/>
    <w:rsid w:val="003D3FC5"/>
    <w:rsid w:val="003D4B0B"/>
    <w:rsid w:val="003D4C64"/>
    <w:rsid w:val="003D4EA3"/>
    <w:rsid w:val="003D4FC7"/>
    <w:rsid w:val="003D5312"/>
    <w:rsid w:val="003D53A3"/>
    <w:rsid w:val="003D5BCD"/>
    <w:rsid w:val="003D5E9B"/>
    <w:rsid w:val="003D65A9"/>
    <w:rsid w:val="003D6629"/>
    <w:rsid w:val="003D6CA0"/>
    <w:rsid w:val="003E04E0"/>
    <w:rsid w:val="003E0836"/>
    <w:rsid w:val="003E0958"/>
    <w:rsid w:val="003E09C0"/>
    <w:rsid w:val="003E0AC9"/>
    <w:rsid w:val="003E1098"/>
    <w:rsid w:val="003E174A"/>
    <w:rsid w:val="003E1979"/>
    <w:rsid w:val="003E1B06"/>
    <w:rsid w:val="003E1FC5"/>
    <w:rsid w:val="003E2163"/>
    <w:rsid w:val="003E2628"/>
    <w:rsid w:val="003E2CA8"/>
    <w:rsid w:val="003E2CF2"/>
    <w:rsid w:val="003E34BC"/>
    <w:rsid w:val="003E3626"/>
    <w:rsid w:val="003E3D6E"/>
    <w:rsid w:val="003E41E8"/>
    <w:rsid w:val="003E465F"/>
    <w:rsid w:val="003E47E1"/>
    <w:rsid w:val="003E4CD2"/>
    <w:rsid w:val="003E5512"/>
    <w:rsid w:val="003E5ECA"/>
    <w:rsid w:val="003E67AC"/>
    <w:rsid w:val="003E6B3F"/>
    <w:rsid w:val="003E6C1F"/>
    <w:rsid w:val="003E6D7E"/>
    <w:rsid w:val="003F0C15"/>
    <w:rsid w:val="003F0E23"/>
    <w:rsid w:val="003F0FC4"/>
    <w:rsid w:val="003F10F5"/>
    <w:rsid w:val="003F1661"/>
    <w:rsid w:val="003F1F8A"/>
    <w:rsid w:val="003F2556"/>
    <w:rsid w:val="003F2A37"/>
    <w:rsid w:val="003F2ABF"/>
    <w:rsid w:val="003F2B14"/>
    <w:rsid w:val="003F3403"/>
    <w:rsid w:val="003F3451"/>
    <w:rsid w:val="003F35D1"/>
    <w:rsid w:val="003F3650"/>
    <w:rsid w:val="003F3D80"/>
    <w:rsid w:val="003F3F73"/>
    <w:rsid w:val="003F4248"/>
    <w:rsid w:val="003F46B3"/>
    <w:rsid w:val="003F4D47"/>
    <w:rsid w:val="003F5315"/>
    <w:rsid w:val="003F5593"/>
    <w:rsid w:val="003F598F"/>
    <w:rsid w:val="003F5D31"/>
    <w:rsid w:val="003F622E"/>
    <w:rsid w:val="003F6291"/>
    <w:rsid w:val="003F6404"/>
    <w:rsid w:val="003F6424"/>
    <w:rsid w:val="003F64D9"/>
    <w:rsid w:val="003F6B32"/>
    <w:rsid w:val="003F6CE0"/>
    <w:rsid w:val="003F6CE7"/>
    <w:rsid w:val="003F7256"/>
    <w:rsid w:val="003F74B5"/>
    <w:rsid w:val="004001A7"/>
    <w:rsid w:val="004008D7"/>
    <w:rsid w:val="00400EB1"/>
    <w:rsid w:val="00401785"/>
    <w:rsid w:val="00401F9D"/>
    <w:rsid w:val="00402173"/>
    <w:rsid w:val="00402185"/>
    <w:rsid w:val="0040234A"/>
    <w:rsid w:val="00402682"/>
    <w:rsid w:val="0040290C"/>
    <w:rsid w:val="00402C2A"/>
    <w:rsid w:val="00403034"/>
    <w:rsid w:val="00404D23"/>
    <w:rsid w:val="004053A9"/>
    <w:rsid w:val="0040548C"/>
    <w:rsid w:val="00405B21"/>
    <w:rsid w:val="00405F6B"/>
    <w:rsid w:val="0040619D"/>
    <w:rsid w:val="00406338"/>
    <w:rsid w:val="00406A76"/>
    <w:rsid w:val="004072C4"/>
    <w:rsid w:val="00407370"/>
    <w:rsid w:val="00407571"/>
    <w:rsid w:val="00407611"/>
    <w:rsid w:val="00407827"/>
    <w:rsid w:val="00410019"/>
    <w:rsid w:val="00410185"/>
    <w:rsid w:val="0041029E"/>
    <w:rsid w:val="004104DE"/>
    <w:rsid w:val="00410761"/>
    <w:rsid w:val="00410F86"/>
    <w:rsid w:val="0041212A"/>
    <w:rsid w:val="00412449"/>
    <w:rsid w:val="0041391E"/>
    <w:rsid w:val="004139A3"/>
    <w:rsid w:val="00413E9B"/>
    <w:rsid w:val="00414CF3"/>
    <w:rsid w:val="00414F22"/>
    <w:rsid w:val="004155FB"/>
    <w:rsid w:val="004156C1"/>
    <w:rsid w:val="004159FE"/>
    <w:rsid w:val="00415A00"/>
    <w:rsid w:val="00415AC2"/>
    <w:rsid w:val="004163F3"/>
    <w:rsid w:val="00416593"/>
    <w:rsid w:val="00416866"/>
    <w:rsid w:val="004168F6"/>
    <w:rsid w:val="00416B4D"/>
    <w:rsid w:val="00416CD9"/>
    <w:rsid w:val="00416EBF"/>
    <w:rsid w:val="0041709F"/>
    <w:rsid w:val="0041753C"/>
    <w:rsid w:val="00417778"/>
    <w:rsid w:val="00417AB2"/>
    <w:rsid w:val="00420012"/>
    <w:rsid w:val="00420484"/>
    <w:rsid w:val="00420A20"/>
    <w:rsid w:val="00420AA9"/>
    <w:rsid w:val="00420DB7"/>
    <w:rsid w:val="0042141D"/>
    <w:rsid w:val="00421498"/>
    <w:rsid w:val="00421919"/>
    <w:rsid w:val="0042296F"/>
    <w:rsid w:val="004229DB"/>
    <w:rsid w:val="004234AE"/>
    <w:rsid w:val="004239D1"/>
    <w:rsid w:val="00423B25"/>
    <w:rsid w:val="00423C5D"/>
    <w:rsid w:val="00423CCE"/>
    <w:rsid w:val="00423D2D"/>
    <w:rsid w:val="004241DF"/>
    <w:rsid w:val="004241E7"/>
    <w:rsid w:val="00424402"/>
    <w:rsid w:val="00424598"/>
    <w:rsid w:val="00424C37"/>
    <w:rsid w:val="00425C26"/>
    <w:rsid w:val="00426793"/>
    <w:rsid w:val="00426B2C"/>
    <w:rsid w:val="00427272"/>
    <w:rsid w:val="004278E4"/>
    <w:rsid w:val="0043006F"/>
    <w:rsid w:val="004301F5"/>
    <w:rsid w:val="004308C8"/>
    <w:rsid w:val="00430E4C"/>
    <w:rsid w:val="00430EB8"/>
    <w:rsid w:val="004310B9"/>
    <w:rsid w:val="004315D8"/>
    <w:rsid w:val="00431675"/>
    <w:rsid w:val="004317A7"/>
    <w:rsid w:val="00431CC7"/>
    <w:rsid w:val="004321AF"/>
    <w:rsid w:val="004323CC"/>
    <w:rsid w:val="00432C8A"/>
    <w:rsid w:val="00432CFB"/>
    <w:rsid w:val="00432E61"/>
    <w:rsid w:val="00432FD8"/>
    <w:rsid w:val="00433392"/>
    <w:rsid w:val="00433785"/>
    <w:rsid w:val="00433865"/>
    <w:rsid w:val="00434026"/>
    <w:rsid w:val="0043403B"/>
    <w:rsid w:val="0043419F"/>
    <w:rsid w:val="004341B0"/>
    <w:rsid w:val="00434BCE"/>
    <w:rsid w:val="00434D7C"/>
    <w:rsid w:val="00434DBE"/>
    <w:rsid w:val="00434E41"/>
    <w:rsid w:val="00434FD6"/>
    <w:rsid w:val="0043526B"/>
    <w:rsid w:val="0043545C"/>
    <w:rsid w:val="00435658"/>
    <w:rsid w:val="0043585F"/>
    <w:rsid w:val="0043592B"/>
    <w:rsid w:val="00435A2D"/>
    <w:rsid w:val="004361B8"/>
    <w:rsid w:val="00436651"/>
    <w:rsid w:val="004367EB"/>
    <w:rsid w:val="00436897"/>
    <w:rsid w:val="00436915"/>
    <w:rsid w:val="00436D1F"/>
    <w:rsid w:val="00437370"/>
    <w:rsid w:val="00437919"/>
    <w:rsid w:val="00437B22"/>
    <w:rsid w:val="00437C3E"/>
    <w:rsid w:val="00437C74"/>
    <w:rsid w:val="00437E9A"/>
    <w:rsid w:val="004400FD"/>
    <w:rsid w:val="004401C4"/>
    <w:rsid w:val="0044072B"/>
    <w:rsid w:val="004409D9"/>
    <w:rsid w:val="00440E30"/>
    <w:rsid w:val="00441326"/>
    <w:rsid w:val="0044180E"/>
    <w:rsid w:val="00441E80"/>
    <w:rsid w:val="00442704"/>
    <w:rsid w:val="0044358D"/>
    <w:rsid w:val="00443F08"/>
    <w:rsid w:val="004447E7"/>
    <w:rsid w:val="00444904"/>
    <w:rsid w:val="00444B24"/>
    <w:rsid w:val="00444F03"/>
    <w:rsid w:val="00445A1D"/>
    <w:rsid w:val="00445A83"/>
    <w:rsid w:val="00446813"/>
    <w:rsid w:val="00446AC8"/>
    <w:rsid w:val="00446C60"/>
    <w:rsid w:val="00446DBB"/>
    <w:rsid w:val="00447241"/>
    <w:rsid w:val="0044727A"/>
    <w:rsid w:val="004476E6"/>
    <w:rsid w:val="00447AA0"/>
    <w:rsid w:val="004502BB"/>
    <w:rsid w:val="00450DC3"/>
    <w:rsid w:val="0045176F"/>
    <w:rsid w:val="00451C22"/>
    <w:rsid w:val="00452634"/>
    <w:rsid w:val="00452845"/>
    <w:rsid w:val="004529A9"/>
    <w:rsid w:val="00453032"/>
    <w:rsid w:val="004530EB"/>
    <w:rsid w:val="004559A9"/>
    <w:rsid w:val="004559E7"/>
    <w:rsid w:val="00455B75"/>
    <w:rsid w:val="00455F76"/>
    <w:rsid w:val="0045612D"/>
    <w:rsid w:val="00456329"/>
    <w:rsid w:val="00456607"/>
    <w:rsid w:val="004569B4"/>
    <w:rsid w:val="00456D1B"/>
    <w:rsid w:val="00457365"/>
    <w:rsid w:val="00457765"/>
    <w:rsid w:val="00457DD2"/>
    <w:rsid w:val="00460331"/>
    <w:rsid w:val="00460D0A"/>
    <w:rsid w:val="00460E41"/>
    <w:rsid w:val="00461252"/>
    <w:rsid w:val="004612FB"/>
    <w:rsid w:val="00461391"/>
    <w:rsid w:val="004615A4"/>
    <w:rsid w:val="00461CED"/>
    <w:rsid w:val="004621AD"/>
    <w:rsid w:val="004624B3"/>
    <w:rsid w:val="004628D5"/>
    <w:rsid w:val="00462E59"/>
    <w:rsid w:val="00462FC1"/>
    <w:rsid w:val="0046300E"/>
    <w:rsid w:val="004638F4"/>
    <w:rsid w:val="00464AD2"/>
    <w:rsid w:val="00464C68"/>
    <w:rsid w:val="00465EC0"/>
    <w:rsid w:val="00465ED5"/>
    <w:rsid w:val="0046607C"/>
    <w:rsid w:val="004661EC"/>
    <w:rsid w:val="00466203"/>
    <w:rsid w:val="0046650A"/>
    <w:rsid w:val="00466A18"/>
    <w:rsid w:val="00466F31"/>
    <w:rsid w:val="004671F4"/>
    <w:rsid w:val="0046739A"/>
    <w:rsid w:val="004676B5"/>
    <w:rsid w:val="004679CA"/>
    <w:rsid w:val="00467A48"/>
    <w:rsid w:val="00467C3D"/>
    <w:rsid w:val="00467C79"/>
    <w:rsid w:val="00470A58"/>
    <w:rsid w:val="00470C50"/>
    <w:rsid w:val="0047136A"/>
    <w:rsid w:val="004721E4"/>
    <w:rsid w:val="0047249B"/>
    <w:rsid w:val="004724F4"/>
    <w:rsid w:val="004726A5"/>
    <w:rsid w:val="00472A88"/>
    <w:rsid w:val="00472EF7"/>
    <w:rsid w:val="00472FF6"/>
    <w:rsid w:val="0047301E"/>
    <w:rsid w:val="004730F9"/>
    <w:rsid w:val="0047376E"/>
    <w:rsid w:val="00473F14"/>
    <w:rsid w:val="0047401B"/>
    <w:rsid w:val="004740C9"/>
    <w:rsid w:val="004741BA"/>
    <w:rsid w:val="00474534"/>
    <w:rsid w:val="004748D4"/>
    <w:rsid w:val="0047497F"/>
    <w:rsid w:val="00474C85"/>
    <w:rsid w:val="00474D0B"/>
    <w:rsid w:val="004751EA"/>
    <w:rsid w:val="00475217"/>
    <w:rsid w:val="00475A6F"/>
    <w:rsid w:val="00475BFC"/>
    <w:rsid w:val="00476A56"/>
    <w:rsid w:val="00477373"/>
    <w:rsid w:val="00477510"/>
    <w:rsid w:val="00477917"/>
    <w:rsid w:val="004779A4"/>
    <w:rsid w:val="00477B4E"/>
    <w:rsid w:val="00477C55"/>
    <w:rsid w:val="00477D43"/>
    <w:rsid w:val="004800BC"/>
    <w:rsid w:val="00480312"/>
    <w:rsid w:val="004805E6"/>
    <w:rsid w:val="00480F4D"/>
    <w:rsid w:val="00481380"/>
    <w:rsid w:val="004825DB"/>
    <w:rsid w:val="00482931"/>
    <w:rsid w:val="0048306F"/>
    <w:rsid w:val="00483086"/>
    <w:rsid w:val="004835A1"/>
    <w:rsid w:val="00483F15"/>
    <w:rsid w:val="0048445A"/>
    <w:rsid w:val="00484526"/>
    <w:rsid w:val="00484561"/>
    <w:rsid w:val="00485B73"/>
    <w:rsid w:val="00485DBC"/>
    <w:rsid w:val="00486582"/>
    <w:rsid w:val="004867EF"/>
    <w:rsid w:val="00486DF2"/>
    <w:rsid w:val="00486F60"/>
    <w:rsid w:val="00486FF5"/>
    <w:rsid w:val="0048733B"/>
    <w:rsid w:val="0048754B"/>
    <w:rsid w:val="00487674"/>
    <w:rsid w:val="00487735"/>
    <w:rsid w:val="00487BC0"/>
    <w:rsid w:val="00487C16"/>
    <w:rsid w:val="00487F6A"/>
    <w:rsid w:val="004902EF"/>
    <w:rsid w:val="0049039F"/>
    <w:rsid w:val="004906B2"/>
    <w:rsid w:val="0049107F"/>
    <w:rsid w:val="0049121E"/>
    <w:rsid w:val="004917DF"/>
    <w:rsid w:val="00491881"/>
    <w:rsid w:val="00491886"/>
    <w:rsid w:val="00491D0A"/>
    <w:rsid w:val="00491E9E"/>
    <w:rsid w:val="00492301"/>
    <w:rsid w:val="0049248B"/>
    <w:rsid w:val="00492737"/>
    <w:rsid w:val="00492795"/>
    <w:rsid w:val="0049288F"/>
    <w:rsid w:val="004928FD"/>
    <w:rsid w:val="00492F0C"/>
    <w:rsid w:val="004936AC"/>
    <w:rsid w:val="0049384F"/>
    <w:rsid w:val="00493B4E"/>
    <w:rsid w:val="00493B91"/>
    <w:rsid w:val="00493FB1"/>
    <w:rsid w:val="00494419"/>
    <w:rsid w:val="004947DE"/>
    <w:rsid w:val="00494907"/>
    <w:rsid w:val="00495020"/>
    <w:rsid w:val="00495204"/>
    <w:rsid w:val="0049524E"/>
    <w:rsid w:val="00495CC3"/>
    <w:rsid w:val="00496B86"/>
    <w:rsid w:val="00496DF5"/>
    <w:rsid w:val="00496E71"/>
    <w:rsid w:val="004970DF"/>
    <w:rsid w:val="004970E5"/>
    <w:rsid w:val="0049750C"/>
    <w:rsid w:val="004977FF"/>
    <w:rsid w:val="00497990"/>
    <w:rsid w:val="00497AEA"/>
    <w:rsid w:val="00497C2A"/>
    <w:rsid w:val="00497E97"/>
    <w:rsid w:val="004A030A"/>
    <w:rsid w:val="004A0821"/>
    <w:rsid w:val="004A0BAD"/>
    <w:rsid w:val="004A0BEB"/>
    <w:rsid w:val="004A0BF1"/>
    <w:rsid w:val="004A0CCF"/>
    <w:rsid w:val="004A0D58"/>
    <w:rsid w:val="004A1011"/>
    <w:rsid w:val="004A1083"/>
    <w:rsid w:val="004A16CD"/>
    <w:rsid w:val="004A1802"/>
    <w:rsid w:val="004A20F9"/>
    <w:rsid w:val="004A221D"/>
    <w:rsid w:val="004A2897"/>
    <w:rsid w:val="004A2AEE"/>
    <w:rsid w:val="004A2DAF"/>
    <w:rsid w:val="004A3100"/>
    <w:rsid w:val="004A34AA"/>
    <w:rsid w:val="004A354E"/>
    <w:rsid w:val="004A356D"/>
    <w:rsid w:val="004A3B7E"/>
    <w:rsid w:val="004A3CD4"/>
    <w:rsid w:val="004A4435"/>
    <w:rsid w:val="004A4B38"/>
    <w:rsid w:val="004A4FAD"/>
    <w:rsid w:val="004A50EA"/>
    <w:rsid w:val="004A5744"/>
    <w:rsid w:val="004A57CA"/>
    <w:rsid w:val="004A5D9C"/>
    <w:rsid w:val="004A60D7"/>
    <w:rsid w:val="004A66B8"/>
    <w:rsid w:val="004A6A5F"/>
    <w:rsid w:val="004A6E2E"/>
    <w:rsid w:val="004A7258"/>
    <w:rsid w:val="004A7830"/>
    <w:rsid w:val="004A79A6"/>
    <w:rsid w:val="004A79E6"/>
    <w:rsid w:val="004A7B45"/>
    <w:rsid w:val="004A7BE7"/>
    <w:rsid w:val="004B00F4"/>
    <w:rsid w:val="004B0457"/>
    <w:rsid w:val="004B05C1"/>
    <w:rsid w:val="004B06DD"/>
    <w:rsid w:val="004B08BA"/>
    <w:rsid w:val="004B0B93"/>
    <w:rsid w:val="004B11D6"/>
    <w:rsid w:val="004B12CA"/>
    <w:rsid w:val="004B137F"/>
    <w:rsid w:val="004B1542"/>
    <w:rsid w:val="004B1F89"/>
    <w:rsid w:val="004B239E"/>
    <w:rsid w:val="004B23E1"/>
    <w:rsid w:val="004B25B4"/>
    <w:rsid w:val="004B3232"/>
    <w:rsid w:val="004B3414"/>
    <w:rsid w:val="004B3440"/>
    <w:rsid w:val="004B3A58"/>
    <w:rsid w:val="004B3B38"/>
    <w:rsid w:val="004B3CB4"/>
    <w:rsid w:val="004B437F"/>
    <w:rsid w:val="004B43E6"/>
    <w:rsid w:val="004B4753"/>
    <w:rsid w:val="004B47DE"/>
    <w:rsid w:val="004B5051"/>
    <w:rsid w:val="004B5597"/>
    <w:rsid w:val="004B599F"/>
    <w:rsid w:val="004B618D"/>
    <w:rsid w:val="004B6677"/>
    <w:rsid w:val="004B6B56"/>
    <w:rsid w:val="004B6C83"/>
    <w:rsid w:val="004B6F3C"/>
    <w:rsid w:val="004B7023"/>
    <w:rsid w:val="004B737B"/>
    <w:rsid w:val="004B73AF"/>
    <w:rsid w:val="004B7F23"/>
    <w:rsid w:val="004C05EE"/>
    <w:rsid w:val="004C2283"/>
    <w:rsid w:val="004C2999"/>
    <w:rsid w:val="004C2A4B"/>
    <w:rsid w:val="004C2A70"/>
    <w:rsid w:val="004C33A5"/>
    <w:rsid w:val="004C376E"/>
    <w:rsid w:val="004C3BF8"/>
    <w:rsid w:val="004C3F69"/>
    <w:rsid w:val="004C40C3"/>
    <w:rsid w:val="004C4371"/>
    <w:rsid w:val="004C4B2B"/>
    <w:rsid w:val="004C4B7F"/>
    <w:rsid w:val="004C4C7E"/>
    <w:rsid w:val="004C4CC3"/>
    <w:rsid w:val="004C5635"/>
    <w:rsid w:val="004C5662"/>
    <w:rsid w:val="004C5A21"/>
    <w:rsid w:val="004C5ADD"/>
    <w:rsid w:val="004C5CE3"/>
    <w:rsid w:val="004C5F73"/>
    <w:rsid w:val="004C662A"/>
    <w:rsid w:val="004C6708"/>
    <w:rsid w:val="004C675A"/>
    <w:rsid w:val="004C70DC"/>
    <w:rsid w:val="004C7384"/>
    <w:rsid w:val="004C7410"/>
    <w:rsid w:val="004C75CE"/>
    <w:rsid w:val="004C7706"/>
    <w:rsid w:val="004C7E44"/>
    <w:rsid w:val="004C7F84"/>
    <w:rsid w:val="004D0133"/>
    <w:rsid w:val="004D06E5"/>
    <w:rsid w:val="004D07E7"/>
    <w:rsid w:val="004D115C"/>
    <w:rsid w:val="004D1599"/>
    <w:rsid w:val="004D1742"/>
    <w:rsid w:val="004D1D8B"/>
    <w:rsid w:val="004D1E12"/>
    <w:rsid w:val="004D1E28"/>
    <w:rsid w:val="004D2223"/>
    <w:rsid w:val="004D228B"/>
    <w:rsid w:val="004D2667"/>
    <w:rsid w:val="004D2AB4"/>
    <w:rsid w:val="004D2CC8"/>
    <w:rsid w:val="004D30D4"/>
    <w:rsid w:val="004D33D8"/>
    <w:rsid w:val="004D34FC"/>
    <w:rsid w:val="004D372A"/>
    <w:rsid w:val="004D372D"/>
    <w:rsid w:val="004D3846"/>
    <w:rsid w:val="004D38F9"/>
    <w:rsid w:val="004D4329"/>
    <w:rsid w:val="004D49C8"/>
    <w:rsid w:val="004D4CD0"/>
    <w:rsid w:val="004D4EBD"/>
    <w:rsid w:val="004D5B68"/>
    <w:rsid w:val="004D5B9D"/>
    <w:rsid w:val="004D6123"/>
    <w:rsid w:val="004D61B4"/>
    <w:rsid w:val="004D6485"/>
    <w:rsid w:val="004D64B4"/>
    <w:rsid w:val="004D6B2D"/>
    <w:rsid w:val="004D71C4"/>
    <w:rsid w:val="004D7815"/>
    <w:rsid w:val="004D7878"/>
    <w:rsid w:val="004D7B91"/>
    <w:rsid w:val="004E0417"/>
    <w:rsid w:val="004E0B02"/>
    <w:rsid w:val="004E1B62"/>
    <w:rsid w:val="004E1CFD"/>
    <w:rsid w:val="004E28E2"/>
    <w:rsid w:val="004E294F"/>
    <w:rsid w:val="004E3012"/>
    <w:rsid w:val="004E402A"/>
    <w:rsid w:val="004E496F"/>
    <w:rsid w:val="004E5222"/>
    <w:rsid w:val="004E586D"/>
    <w:rsid w:val="004E5A09"/>
    <w:rsid w:val="004E5DA5"/>
    <w:rsid w:val="004E6167"/>
    <w:rsid w:val="004E64A6"/>
    <w:rsid w:val="004E64C6"/>
    <w:rsid w:val="004E6EE0"/>
    <w:rsid w:val="004E70B3"/>
    <w:rsid w:val="004E76C6"/>
    <w:rsid w:val="004E7D4B"/>
    <w:rsid w:val="004E7F0C"/>
    <w:rsid w:val="004E7F8F"/>
    <w:rsid w:val="004F02B3"/>
    <w:rsid w:val="004F0665"/>
    <w:rsid w:val="004F0DF4"/>
    <w:rsid w:val="004F145B"/>
    <w:rsid w:val="004F1AA3"/>
    <w:rsid w:val="004F1D33"/>
    <w:rsid w:val="004F1F2A"/>
    <w:rsid w:val="004F2BA3"/>
    <w:rsid w:val="004F2E96"/>
    <w:rsid w:val="004F3137"/>
    <w:rsid w:val="004F357C"/>
    <w:rsid w:val="004F3673"/>
    <w:rsid w:val="004F39EB"/>
    <w:rsid w:val="004F3B70"/>
    <w:rsid w:val="004F3B7A"/>
    <w:rsid w:val="004F426C"/>
    <w:rsid w:val="004F43E7"/>
    <w:rsid w:val="004F4CCC"/>
    <w:rsid w:val="004F4E79"/>
    <w:rsid w:val="004F502E"/>
    <w:rsid w:val="004F51EC"/>
    <w:rsid w:val="004F569D"/>
    <w:rsid w:val="004F582B"/>
    <w:rsid w:val="004F5848"/>
    <w:rsid w:val="004F6567"/>
    <w:rsid w:val="004F6590"/>
    <w:rsid w:val="004F6879"/>
    <w:rsid w:val="004F6922"/>
    <w:rsid w:val="004F6D0E"/>
    <w:rsid w:val="004F7436"/>
    <w:rsid w:val="004F75CB"/>
    <w:rsid w:val="005000C2"/>
    <w:rsid w:val="005003A8"/>
    <w:rsid w:val="00500542"/>
    <w:rsid w:val="005006EC"/>
    <w:rsid w:val="00500A1F"/>
    <w:rsid w:val="00500BC4"/>
    <w:rsid w:val="005014D0"/>
    <w:rsid w:val="00501643"/>
    <w:rsid w:val="005018D7"/>
    <w:rsid w:val="00501A2A"/>
    <w:rsid w:val="00501E14"/>
    <w:rsid w:val="00501F94"/>
    <w:rsid w:val="00502238"/>
    <w:rsid w:val="00502872"/>
    <w:rsid w:val="0050291D"/>
    <w:rsid w:val="00502AD5"/>
    <w:rsid w:val="00502B22"/>
    <w:rsid w:val="00502EE3"/>
    <w:rsid w:val="00503113"/>
    <w:rsid w:val="005039F8"/>
    <w:rsid w:val="00503FB0"/>
    <w:rsid w:val="0050403F"/>
    <w:rsid w:val="00504443"/>
    <w:rsid w:val="0050502C"/>
    <w:rsid w:val="0050541E"/>
    <w:rsid w:val="00505710"/>
    <w:rsid w:val="005058D7"/>
    <w:rsid w:val="00506260"/>
    <w:rsid w:val="00506B91"/>
    <w:rsid w:val="0050745A"/>
    <w:rsid w:val="005074CA"/>
    <w:rsid w:val="0050762E"/>
    <w:rsid w:val="00507E20"/>
    <w:rsid w:val="005100DF"/>
    <w:rsid w:val="00510240"/>
    <w:rsid w:val="00510504"/>
    <w:rsid w:val="005113F4"/>
    <w:rsid w:val="00511710"/>
    <w:rsid w:val="00511715"/>
    <w:rsid w:val="00511AF5"/>
    <w:rsid w:val="00512079"/>
    <w:rsid w:val="005129B6"/>
    <w:rsid w:val="00512CA2"/>
    <w:rsid w:val="00512DA5"/>
    <w:rsid w:val="00512F7D"/>
    <w:rsid w:val="0051344C"/>
    <w:rsid w:val="00513B11"/>
    <w:rsid w:val="00513FCA"/>
    <w:rsid w:val="00514555"/>
    <w:rsid w:val="0051455E"/>
    <w:rsid w:val="00514926"/>
    <w:rsid w:val="00514C56"/>
    <w:rsid w:val="0051518E"/>
    <w:rsid w:val="00515439"/>
    <w:rsid w:val="0051569B"/>
    <w:rsid w:val="0051606E"/>
    <w:rsid w:val="0051627F"/>
    <w:rsid w:val="00516B1C"/>
    <w:rsid w:val="00516BA6"/>
    <w:rsid w:val="00516DB7"/>
    <w:rsid w:val="00517A60"/>
    <w:rsid w:val="00517B70"/>
    <w:rsid w:val="00517CC1"/>
    <w:rsid w:val="00521375"/>
    <w:rsid w:val="005213E7"/>
    <w:rsid w:val="00521B05"/>
    <w:rsid w:val="00522083"/>
    <w:rsid w:val="00522451"/>
    <w:rsid w:val="005224E5"/>
    <w:rsid w:val="00522940"/>
    <w:rsid w:val="00522D56"/>
    <w:rsid w:val="00523485"/>
    <w:rsid w:val="00523B14"/>
    <w:rsid w:val="00523F2B"/>
    <w:rsid w:val="005245A5"/>
    <w:rsid w:val="005245B4"/>
    <w:rsid w:val="00524BC1"/>
    <w:rsid w:val="005255FA"/>
    <w:rsid w:val="00525D3A"/>
    <w:rsid w:val="005263E1"/>
    <w:rsid w:val="00526C82"/>
    <w:rsid w:val="00526F48"/>
    <w:rsid w:val="005271E0"/>
    <w:rsid w:val="005272B0"/>
    <w:rsid w:val="00527707"/>
    <w:rsid w:val="005279BB"/>
    <w:rsid w:val="00530199"/>
    <w:rsid w:val="005306AB"/>
    <w:rsid w:val="00530913"/>
    <w:rsid w:val="00530EA3"/>
    <w:rsid w:val="00530F96"/>
    <w:rsid w:val="0053131E"/>
    <w:rsid w:val="00531E91"/>
    <w:rsid w:val="00531EE2"/>
    <w:rsid w:val="0053226D"/>
    <w:rsid w:val="00532553"/>
    <w:rsid w:val="00532924"/>
    <w:rsid w:val="00532D32"/>
    <w:rsid w:val="00533302"/>
    <w:rsid w:val="005335AB"/>
    <w:rsid w:val="00533776"/>
    <w:rsid w:val="00533807"/>
    <w:rsid w:val="00533905"/>
    <w:rsid w:val="00533BF8"/>
    <w:rsid w:val="00533D2D"/>
    <w:rsid w:val="0053495F"/>
    <w:rsid w:val="005349A3"/>
    <w:rsid w:val="00535594"/>
    <w:rsid w:val="005355D4"/>
    <w:rsid w:val="00535E3A"/>
    <w:rsid w:val="00536C1F"/>
    <w:rsid w:val="00536C97"/>
    <w:rsid w:val="00536FE3"/>
    <w:rsid w:val="005372B2"/>
    <w:rsid w:val="005375CC"/>
    <w:rsid w:val="005377C4"/>
    <w:rsid w:val="00537CF0"/>
    <w:rsid w:val="005405D9"/>
    <w:rsid w:val="00540992"/>
    <w:rsid w:val="00540CE0"/>
    <w:rsid w:val="005410BD"/>
    <w:rsid w:val="005414E1"/>
    <w:rsid w:val="00541548"/>
    <w:rsid w:val="0054174A"/>
    <w:rsid w:val="00542127"/>
    <w:rsid w:val="00542607"/>
    <w:rsid w:val="005428C4"/>
    <w:rsid w:val="00543299"/>
    <w:rsid w:val="00544D3D"/>
    <w:rsid w:val="005451B5"/>
    <w:rsid w:val="0054589D"/>
    <w:rsid w:val="00545E22"/>
    <w:rsid w:val="0054603B"/>
    <w:rsid w:val="005461BC"/>
    <w:rsid w:val="005464BF"/>
    <w:rsid w:val="00546B04"/>
    <w:rsid w:val="00546B78"/>
    <w:rsid w:val="00546BC4"/>
    <w:rsid w:val="0054729F"/>
    <w:rsid w:val="005479B5"/>
    <w:rsid w:val="00550018"/>
    <w:rsid w:val="00550034"/>
    <w:rsid w:val="005500E2"/>
    <w:rsid w:val="0055019F"/>
    <w:rsid w:val="00550240"/>
    <w:rsid w:val="0055034A"/>
    <w:rsid w:val="00550767"/>
    <w:rsid w:val="0055097A"/>
    <w:rsid w:val="00551417"/>
    <w:rsid w:val="005516B2"/>
    <w:rsid w:val="00551963"/>
    <w:rsid w:val="005519D3"/>
    <w:rsid w:val="00552B88"/>
    <w:rsid w:val="00552D8A"/>
    <w:rsid w:val="005536BF"/>
    <w:rsid w:val="005536CE"/>
    <w:rsid w:val="0055372C"/>
    <w:rsid w:val="00553838"/>
    <w:rsid w:val="00554686"/>
    <w:rsid w:val="005549FE"/>
    <w:rsid w:val="00554BDD"/>
    <w:rsid w:val="00554C3E"/>
    <w:rsid w:val="00554C76"/>
    <w:rsid w:val="00555571"/>
    <w:rsid w:val="00555784"/>
    <w:rsid w:val="005559E2"/>
    <w:rsid w:val="00555BF1"/>
    <w:rsid w:val="00555DE6"/>
    <w:rsid w:val="00556031"/>
    <w:rsid w:val="0055676B"/>
    <w:rsid w:val="00556B92"/>
    <w:rsid w:val="00556E1A"/>
    <w:rsid w:val="00556EE3"/>
    <w:rsid w:val="00556F98"/>
    <w:rsid w:val="00557127"/>
    <w:rsid w:val="005573BD"/>
    <w:rsid w:val="0055784E"/>
    <w:rsid w:val="005601AB"/>
    <w:rsid w:val="005601BC"/>
    <w:rsid w:val="00560400"/>
    <w:rsid w:val="00560996"/>
    <w:rsid w:val="00560DF9"/>
    <w:rsid w:val="0056115F"/>
    <w:rsid w:val="00561569"/>
    <w:rsid w:val="0056178F"/>
    <w:rsid w:val="00561CC1"/>
    <w:rsid w:val="00561CE2"/>
    <w:rsid w:val="005624C4"/>
    <w:rsid w:val="00562D7F"/>
    <w:rsid w:val="00563700"/>
    <w:rsid w:val="0056394D"/>
    <w:rsid w:val="00563A14"/>
    <w:rsid w:val="00563FC7"/>
    <w:rsid w:val="00564749"/>
    <w:rsid w:val="0056498B"/>
    <w:rsid w:val="00564C52"/>
    <w:rsid w:val="00564CC6"/>
    <w:rsid w:val="00565605"/>
    <w:rsid w:val="00565E2C"/>
    <w:rsid w:val="00565ED8"/>
    <w:rsid w:val="005660BF"/>
    <w:rsid w:val="00566355"/>
    <w:rsid w:val="005668EC"/>
    <w:rsid w:val="00566B52"/>
    <w:rsid w:val="005670BA"/>
    <w:rsid w:val="0057048F"/>
    <w:rsid w:val="00570B54"/>
    <w:rsid w:val="00570C5E"/>
    <w:rsid w:val="00570DD9"/>
    <w:rsid w:val="00571629"/>
    <w:rsid w:val="0057167D"/>
    <w:rsid w:val="0057173D"/>
    <w:rsid w:val="005717AE"/>
    <w:rsid w:val="00572051"/>
    <w:rsid w:val="005726C2"/>
    <w:rsid w:val="00572808"/>
    <w:rsid w:val="00572BF9"/>
    <w:rsid w:val="00573133"/>
    <w:rsid w:val="00573375"/>
    <w:rsid w:val="005735B0"/>
    <w:rsid w:val="0057376A"/>
    <w:rsid w:val="005741E1"/>
    <w:rsid w:val="00574371"/>
    <w:rsid w:val="005746F5"/>
    <w:rsid w:val="0057528B"/>
    <w:rsid w:val="0057564B"/>
    <w:rsid w:val="00575729"/>
    <w:rsid w:val="005763A5"/>
    <w:rsid w:val="00576D73"/>
    <w:rsid w:val="005778DF"/>
    <w:rsid w:val="005809A6"/>
    <w:rsid w:val="00580C9E"/>
    <w:rsid w:val="00580D4C"/>
    <w:rsid w:val="00580E07"/>
    <w:rsid w:val="00581137"/>
    <w:rsid w:val="005815AE"/>
    <w:rsid w:val="005816EE"/>
    <w:rsid w:val="005820D8"/>
    <w:rsid w:val="00582151"/>
    <w:rsid w:val="0058244E"/>
    <w:rsid w:val="00582832"/>
    <w:rsid w:val="0058289E"/>
    <w:rsid w:val="00582C7F"/>
    <w:rsid w:val="00582F3F"/>
    <w:rsid w:val="0058305A"/>
    <w:rsid w:val="00583810"/>
    <w:rsid w:val="00583AC9"/>
    <w:rsid w:val="00583F6D"/>
    <w:rsid w:val="00584561"/>
    <w:rsid w:val="005855AD"/>
    <w:rsid w:val="005857BA"/>
    <w:rsid w:val="005859FF"/>
    <w:rsid w:val="00585D0C"/>
    <w:rsid w:val="005862EF"/>
    <w:rsid w:val="0058649F"/>
    <w:rsid w:val="00586596"/>
    <w:rsid w:val="005865AC"/>
    <w:rsid w:val="00586BA6"/>
    <w:rsid w:val="0058723F"/>
    <w:rsid w:val="005872DE"/>
    <w:rsid w:val="00587462"/>
    <w:rsid w:val="0058765F"/>
    <w:rsid w:val="00587855"/>
    <w:rsid w:val="0058793C"/>
    <w:rsid w:val="005879CF"/>
    <w:rsid w:val="00587AE1"/>
    <w:rsid w:val="0059005C"/>
    <w:rsid w:val="00590100"/>
    <w:rsid w:val="00590287"/>
    <w:rsid w:val="005903B2"/>
    <w:rsid w:val="00590C2B"/>
    <w:rsid w:val="00591263"/>
    <w:rsid w:val="0059216D"/>
    <w:rsid w:val="00592D07"/>
    <w:rsid w:val="00592DB2"/>
    <w:rsid w:val="00592EDB"/>
    <w:rsid w:val="0059305C"/>
    <w:rsid w:val="0059306C"/>
    <w:rsid w:val="005930F0"/>
    <w:rsid w:val="005931E5"/>
    <w:rsid w:val="005933BE"/>
    <w:rsid w:val="00593518"/>
    <w:rsid w:val="005936F5"/>
    <w:rsid w:val="00593B29"/>
    <w:rsid w:val="00593DEA"/>
    <w:rsid w:val="005943D8"/>
    <w:rsid w:val="00594550"/>
    <w:rsid w:val="005946E5"/>
    <w:rsid w:val="00594929"/>
    <w:rsid w:val="0059495D"/>
    <w:rsid w:val="00594D99"/>
    <w:rsid w:val="005958FF"/>
    <w:rsid w:val="00595D2A"/>
    <w:rsid w:val="00595E79"/>
    <w:rsid w:val="00596E0C"/>
    <w:rsid w:val="00596E2F"/>
    <w:rsid w:val="005970A6"/>
    <w:rsid w:val="005970B1"/>
    <w:rsid w:val="00597400"/>
    <w:rsid w:val="00597865"/>
    <w:rsid w:val="005A0287"/>
    <w:rsid w:val="005A057D"/>
    <w:rsid w:val="005A0FFF"/>
    <w:rsid w:val="005A120D"/>
    <w:rsid w:val="005A1332"/>
    <w:rsid w:val="005A1680"/>
    <w:rsid w:val="005A178C"/>
    <w:rsid w:val="005A182E"/>
    <w:rsid w:val="005A1A8B"/>
    <w:rsid w:val="005A1BBF"/>
    <w:rsid w:val="005A1E73"/>
    <w:rsid w:val="005A20DE"/>
    <w:rsid w:val="005A2240"/>
    <w:rsid w:val="005A22F9"/>
    <w:rsid w:val="005A2645"/>
    <w:rsid w:val="005A276D"/>
    <w:rsid w:val="005A2C8F"/>
    <w:rsid w:val="005A36B9"/>
    <w:rsid w:val="005A3807"/>
    <w:rsid w:val="005A3A88"/>
    <w:rsid w:val="005A4B13"/>
    <w:rsid w:val="005A4B4C"/>
    <w:rsid w:val="005A4E86"/>
    <w:rsid w:val="005A5273"/>
    <w:rsid w:val="005A6BB6"/>
    <w:rsid w:val="005A72C6"/>
    <w:rsid w:val="005A7496"/>
    <w:rsid w:val="005A74EC"/>
    <w:rsid w:val="005A75ED"/>
    <w:rsid w:val="005A760B"/>
    <w:rsid w:val="005A76EB"/>
    <w:rsid w:val="005A773A"/>
    <w:rsid w:val="005A7916"/>
    <w:rsid w:val="005A7EFB"/>
    <w:rsid w:val="005B0355"/>
    <w:rsid w:val="005B055E"/>
    <w:rsid w:val="005B12B7"/>
    <w:rsid w:val="005B194D"/>
    <w:rsid w:val="005B196F"/>
    <w:rsid w:val="005B19A9"/>
    <w:rsid w:val="005B19F9"/>
    <w:rsid w:val="005B1A04"/>
    <w:rsid w:val="005B2006"/>
    <w:rsid w:val="005B2C3C"/>
    <w:rsid w:val="005B2D67"/>
    <w:rsid w:val="005B2FDF"/>
    <w:rsid w:val="005B30DA"/>
    <w:rsid w:val="005B3619"/>
    <w:rsid w:val="005B3656"/>
    <w:rsid w:val="005B36A8"/>
    <w:rsid w:val="005B3A74"/>
    <w:rsid w:val="005B42D7"/>
    <w:rsid w:val="005B451C"/>
    <w:rsid w:val="005B45D6"/>
    <w:rsid w:val="005B463B"/>
    <w:rsid w:val="005B4964"/>
    <w:rsid w:val="005B4988"/>
    <w:rsid w:val="005B5211"/>
    <w:rsid w:val="005B5A44"/>
    <w:rsid w:val="005B5E98"/>
    <w:rsid w:val="005B62F7"/>
    <w:rsid w:val="005B67E1"/>
    <w:rsid w:val="005B70DD"/>
    <w:rsid w:val="005B714F"/>
    <w:rsid w:val="005B7159"/>
    <w:rsid w:val="005B7407"/>
    <w:rsid w:val="005B74BF"/>
    <w:rsid w:val="005B768D"/>
    <w:rsid w:val="005B7981"/>
    <w:rsid w:val="005B7B3D"/>
    <w:rsid w:val="005B7DBF"/>
    <w:rsid w:val="005C0854"/>
    <w:rsid w:val="005C0D3F"/>
    <w:rsid w:val="005C1770"/>
    <w:rsid w:val="005C2008"/>
    <w:rsid w:val="005C290E"/>
    <w:rsid w:val="005C33E3"/>
    <w:rsid w:val="005C3B50"/>
    <w:rsid w:val="005C3BCA"/>
    <w:rsid w:val="005C4709"/>
    <w:rsid w:val="005C488D"/>
    <w:rsid w:val="005C52CE"/>
    <w:rsid w:val="005C5343"/>
    <w:rsid w:val="005C55E7"/>
    <w:rsid w:val="005C571F"/>
    <w:rsid w:val="005C6C7E"/>
    <w:rsid w:val="005C6E7D"/>
    <w:rsid w:val="005C6FDA"/>
    <w:rsid w:val="005C7033"/>
    <w:rsid w:val="005C727B"/>
    <w:rsid w:val="005C74CF"/>
    <w:rsid w:val="005C7B63"/>
    <w:rsid w:val="005C7D31"/>
    <w:rsid w:val="005D0F13"/>
    <w:rsid w:val="005D1875"/>
    <w:rsid w:val="005D204F"/>
    <w:rsid w:val="005D2238"/>
    <w:rsid w:val="005D23A9"/>
    <w:rsid w:val="005D2415"/>
    <w:rsid w:val="005D2874"/>
    <w:rsid w:val="005D28FB"/>
    <w:rsid w:val="005D3074"/>
    <w:rsid w:val="005D325E"/>
    <w:rsid w:val="005D35C4"/>
    <w:rsid w:val="005D363B"/>
    <w:rsid w:val="005D382C"/>
    <w:rsid w:val="005D3ED5"/>
    <w:rsid w:val="005D4159"/>
    <w:rsid w:val="005D4163"/>
    <w:rsid w:val="005D422F"/>
    <w:rsid w:val="005D43C6"/>
    <w:rsid w:val="005D43F5"/>
    <w:rsid w:val="005D4576"/>
    <w:rsid w:val="005D45D2"/>
    <w:rsid w:val="005D488A"/>
    <w:rsid w:val="005D49B2"/>
    <w:rsid w:val="005D4EAE"/>
    <w:rsid w:val="005D5E9F"/>
    <w:rsid w:val="005D5ED0"/>
    <w:rsid w:val="005D6045"/>
    <w:rsid w:val="005D621F"/>
    <w:rsid w:val="005D653E"/>
    <w:rsid w:val="005D6D94"/>
    <w:rsid w:val="005D7B5D"/>
    <w:rsid w:val="005D7BC8"/>
    <w:rsid w:val="005D7C8C"/>
    <w:rsid w:val="005D7DC9"/>
    <w:rsid w:val="005D7DCE"/>
    <w:rsid w:val="005D7ED3"/>
    <w:rsid w:val="005E006D"/>
    <w:rsid w:val="005E016C"/>
    <w:rsid w:val="005E0279"/>
    <w:rsid w:val="005E07B3"/>
    <w:rsid w:val="005E0858"/>
    <w:rsid w:val="005E0E38"/>
    <w:rsid w:val="005E11A5"/>
    <w:rsid w:val="005E134B"/>
    <w:rsid w:val="005E1E9D"/>
    <w:rsid w:val="005E1EDE"/>
    <w:rsid w:val="005E2C19"/>
    <w:rsid w:val="005E2D8D"/>
    <w:rsid w:val="005E2E3A"/>
    <w:rsid w:val="005E2FA4"/>
    <w:rsid w:val="005E316F"/>
    <w:rsid w:val="005E3BAF"/>
    <w:rsid w:val="005E3F51"/>
    <w:rsid w:val="005E455F"/>
    <w:rsid w:val="005E479B"/>
    <w:rsid w:val="005E4941"/>
    <w:rsid w:val="005E496A"/>
    <w:rsid w:val="005E4E2F"/>
    <w:rsid w:val="005E52E9"/>
    <w:rsid w:val="005E53D4"/>
    <w:rsid w:val="005E5F29"/>
    <w:rsid w:val="005E6409"/>
    <w:rsid w:val="005E6AE7"/>
    <w:rsid w:val="005E6B32"/>
    <w:rsid w:val="005E6C7C"/>
    <w:rsid w:val="005E6E2F"/>
    <w:rsid w:val="005E72F5"/>
    <w:rsid w:val="005E7754"/>
    <w:rsid w:val="005F0475"/>
    <w:rsid w:val="005F065B"/>
    <w:rsid w:val="005F078D"/>
    <w:rsid w:val="005F079B"/>
    <w:rsid w:val="005F08DC"/>
    <w:rsid w:val="005F09E9"/>
    <w:rsid w:val="005F0F06"/>
    <w:rsid w:val="005F0FF7"/>
    <w:rsid w:val="005F11B2"/>
    <w:rsid w:val="005F1300"/>
    <w:rsid w:val="005F1813"/>
    <w:rsid w:val="005F2301"/>
    <w:rsid w:val="005F27E0"/>
    <w:rsid w:val="005F2C15"/>
    <w:rsid w:val="005F3219"/>
    <w:rsid w:val="005F3302"/>
    <w:rsid w:val="005F35BE"/>
    <w:rsid w:val="005F390B"/>
    <w:rsid w:val="005F3B57"/>
    <w:rsid w:val="005F4557"/>
    <w:rsid w:val="005F484D"/>
    <w:rsid w:val="005F485B"/>
    <w:rsid w:val="005F4AA8"/>
    <w:rsid w:val="005F4BCD"/>
    <w:rsid w:val="005F4D90"/>
    <w:rsid w:val="005F4F2C"/>
    <w:rsid w:val="005F51A4"/>
    <w:rsid w:val="005F52AC"/>
    <w:rsid w:val="005F5555"/>
    <w:rsid w:val="005F56D9"/>
    <w:rsid w:val="005F572B"/>
    <w:rsid w:val="005F5898"/>
    <w:rsid w:val="005F61B0"/>
    <w:rsid w:val="005F652C"/>
    <w:rsid w:val="005F670C"/>
    <w:rsid w:val="005F6B1D"/>
    <w:rsid w:val="005F70AF"/>
    <w:rsid w:val="005F72FA"/>
    <w:rsid w:val="005F746C"/>
    <w:rsid w:val="005F797D"/>
    <w:rsid w:val="005F7BCF"/>
    <w:rsid w:val="005F7FE0"/>
    <w:rsid w:val="006005F0"/>
    <w:rsid w:val="006007B3"/>
    <w:rsid w:val="006009A9"/>
    <w:rsid w:val="00600A85"/>
    <w:rsid w:val="00600BD8"/>
    <w:rsid w:val="00600C28"/>
    <w:rsid w:val="0060144A"/>
    <w:rsid w:val="006015D4"/>
    <w:rsid w:val="00601A45"/>
    <w:rsid w:val="00601B4F"/>
    <w:rsid w:val="00601C65"/>
    <w:rsid w:val="00601DF8"/>
    <w:rsid w:val="00601F67"/>
    <w:rsid w:val="00602317"/>
    <w:rsid w:val="006029B0"/>
    <w:rsid w:val="00602F20"/>
    <w:rsid w:val="0060320D"/>
    <w:rsid w:val="006035A1"/>
    <w:rsid w:val="00603A99"/>
    <w:rsid w:val="006040BB"/>
    <w:rsid w:val="00604B52"/>
    <w:rsid w:val="0060533A"/>
    <w:rsid w:val="006053E8"/>
    <w:rsid w:val="0060547B"/>
    <w:rsid w:val="00605874"/>
    <w:rsid w:val="0060596A"/>
    <w:rsid w:val="00605998"/>
    <w:rsid w:val="00605FC5"/>
    <w:rsid w:val="006060AE"/>
    <w:rsid w:val="0060626C"/>
    <w:rsid w:val="006065ED"/>
    <w:rsid w:val="006066E6"/>
    <w:rsid w:val="00606D37"/>
    <w:rsid w:val="006070C3"/>
    <w:rsid w:val="00607488"/>
    <w:rsid w:val="00607C66"/>
    <w:rsid w:val="00610070"/>
    <w:rsid w:val="006103CC"/>
    <w:rsid w:val="0061048F"/>
    <w:rsid w:val="006104A7"/>
    <w:rsid w:val="00611456"/>
    <w:rsid w:val="006116D0"/>
    <w:rsid w:val="00611855"/>
    <w:rsid w:val="006126CC"/>
    <w:rsid w:val="006127D8"/>
    <w:rsid w:val="00612AC2"/>
    <w:rsid w:val="00613549"/>
    <w:rsid w:val="006136E9"/>
    <w:rsid w:val="00613887"/>
    <w:rsid w:val="00614264"/>
    <w:rsid w:val="0061428E"/>
    <w:rsid w:val="006143F1"/>
    <w:rsid w:val="00614B21"/>
    <w:rsid w:val="00614C36"/>
    <w:rsid w:val="00614ED1"/>
    <w:rsid w:val="00614EEF"/>
    <w:rsid w:val="006153BB"/>
    <w:rsid w:val="006156BD"/>
    <w:rsid w:val="00615B78"/>
    <w:rsid w:val="00615D96"/>
    <w:rsid w:val="00615E26"/>
    <w:rsid w:val="006162B7"/>
    <w:rsid w:val="006167EB"/>
    <w:rsid w:val="006168E1"/>
    <w:rsid w:val="00617136"/>
    <w:rsid w:val="0061724C"/>
    <w:rsid w:val="00617591"/>
    <w:rsid w:val="0061778B"/>
    <w:rsid w:val="006178F2"/>
    <w:rsid w:val="00617DB7"/>
    <w:rsid w:val="00617FD3"/>
    <w:rsid w:val="00617FD9"/>
    <w:rsid w:val="006200BB"/>
    <w:rsid w:val="0062014C"/>
    <w:rsid w:val="0062046A"/>
    <w:rsid w:val="00620B6D"/>
    <w:rsid w:val="00620B70"/>
    <w:rsid w:val="00620C41"/>
    <w:rsid w:val="00620CAA"/>
    <w:rsid w:val="00620CEA"/>
    <w:rsid w:val="00620D84"/>
    <w:rsid w:val="00620DC0"/>
    <w:rsid w:val="00621166"/>
    <w:rsid w:val="006213AD"/>
    <w:rsid w:val="006213B2"/>
    <w:rsid w:val="006215F4"/>
    <w:rsid w:val="00621832"/>
    <w:rsid w:val="00621AD9"/>
    <w:rsid w:val="00621F08"/>
    <w:rsid w:val="0062203E"/>
    <w:rsid w:val="0062230A"/>
    <w:rsid w:val="006225CF"/>
    <w:rsid w:val="00622827"/>
    <w:rsid w:val="00622D6D"/>
    <w:rsid w:val="006230FD"/>
    <w:rsid w:val="00623450"/>
    <w:rsid w:val="006238DC"/>
    <w:rsid w:val="00623A2D"/>
    <w:rsid w:val="00623C25"/>
    <w:rsid w:val="006246CC"/>
    <w:rsid w:val="00624739"/>
    <w:rsid w:val="006248C8"/>
    <w:rsid w:val="00624999"/>
    <w:rsid w:val="00624A28"/>
    <w:rsid w:val="00624A92"/>
    <w:rsid w:val="00625368"/>
    <w:rsid w:val="00626158"/>
    <w:rsid w:val="00626A19"/>
    <w:rsid w:val="006271DC"/>
    <w:rsid w:val="006271E8"/>
    <w:rsid w:val="00627659"/>
    <w:rsid w:val="00627D40"/>
    <w:rsid w:val="006304BB"/>
    <w:rsid w:val="006307EB"/>
    <w:rsid w:val="0063190A"/>
    <w:rsid w:val="0063215C"/>
    <w:rsid w:val="00632332"/>
    <w:rsid w:val="00632AF0"/>
    <w:rsid w:val="00632C7A"/>
    <w:rsid w:val="00632CE4"/>
    <w:rsid w:val="006332BF"/>
    <w:rsid w:val="00633387"/>
    <w:rsid w:val="006333F0"/>
    <w:rsid w:val="0063351E"/>
    <w:rsid w:val="00633A4D"/>
    <w:rsid w:val="0063411C"/>
    <w:rsid w:val="006346E9"/>
    <w:rsid w:val="00634747"/>
    <w:rsid w:val="0063482F"/>
    <w:rsid w:val="00635353"/>
    <w:rsid w:val="00635417"/>
    <w:rsid w:val="0063583F"/>
    <w:rsid w:val="006359C9"/>
    <w:rsid w:val="00635C1D"/>
    <w:rsid w:val="00635D69"/>
    <w:rsid w:val="00635D81"/>
    <w:rsid w:val="00635F2D"/>
    <w:rsid w:val="0063612A"/>
    <w:rsid w:val="00636566"/>
    <w:rsid w:val="00636622"/>
    <w:rsid w:val="006366A7"/>
    <w:rsid w:val="00636A46"/>
    <w:rsid w:val="0063730C"/>
    <w:rsid w:val="00637C93"/>
    <w:rsid w:val="006402EE"/>
    <w:rsid w:val="00640CEE"/>
    <w:rsid w:val="00640FFF"/>
    <w:rsid w:val="00641237"/>
    <w:rsid w:val="0064124D"/>
    <w:rsid w:val="006415B2"/>
    <w:rsid w:val="00641669"/>
    <w:rsid w:val="0064177C"/>
    <w:rsid w:val="00641C3F"/>
    <w:rsid w:val="00641D09"/>
    <w:rsid w:val="00641D71"/>
    <w:rsid w:val="00641F92"/>
    <w:rsid w:val="00642462"/>
    <w:rsid w:val="00642AF3"/>
    <w:rsid w:val="00642B15"/>
    <w:rsid w:val="00642CC1"/>
    <w:rsid w:val="00642E68"/>
    <w:rsid w:val="00642F24"/>
    <w:rsid w:val="00643050"/>
    <w:rsid w:val="00643405"/>
    <w:rsid w:val="00643B7F"/>
    <w:rsid w:val="00643F0F"/>
    <w:rsid w:val="00643FAB"/>
    <w:rsid w:val="00644165"/>
    <w:rsid w:val="006456D6"/>
    <w:rsid w:val="006461F8"/>
    <w:rsid w:val="006463DA"/>
    <w:rsid w:val="006468D6"/>
    <w:rsid w:val="006469D3"/>
    <w:rsid w:val="00646F01"/>
    <w:rsid w:val="00647339"/>
    <w:rsid w:val="00647633"/>
    <w:rsid w:val="00647776"/>
    <w:rsid w:val="0064786E"/>
    <w:rsid w:val="006478B4"/>
    <w:rsid w:val="00647A6C"/>
    <w:rsid w:val="00647A74"/>
    <w:rsid w:val="00647E3A"/>
    <w:rsid w:val="006505EA"/>
    <w:rsid w:val="00650CF7"/>
    <w:rsid w:val="006510AA"/>
    <w:rsid w:val="00651254"/>
    <w:rsid w:val="0065146A"/>
    <w:rsid w:val="00651696"/>
    <w:rsid w:val="00651BA4"/>
    <w:rsid w:val="00651D68"/>
    <w:rsid w:val="00651FFB"/>
    <w:rsid w:val="00652011"/>
    <w:rsid w:val="00652013"/>
    <w:rsid w:val="00652280"/>
    <w:rsid w:val="006523DA"/>
    <w:rsid w:val="0065273E"/>
    <w:rsid w:val="00652AA8"/>
    <w:rsid w:val="00652EBB"/>
    <w:rsid w:val="00652F39"/>
    <w:rsid w:val="00653465"/>
    <w:rsid w:val="00653509"/>
    <w:rsid w:val="006540F7"/>
    <w:rsid w:val="006547D1"/>
    <w:rsid w:val="00654BE8"/>
    <w:rsid w:val="00655215"/>
    <w:rsid w:val="00655288"/>
    <w:rsid w:val="006553E1"/>
    <w:rsid w:val="006554C8"/>
    <w:rsid w:val="006555F1"/>
    <w:rsid w:val="00655799"/>
    <w:rsid w:val="0065599A"/>
    <w:rsid w:val="00655C42"/>
    <w:rsid w:val="00655D67"/>
    <w:rsid w:val="00655E6F"/>
    <w:rsid w:val="006562E1"/>
    <w:rsid w:val="0065683B"/>
    <w:rsid w:val="00656AE0"/>
    <w:rsid w:val="00656C13"/>
    <w:rsid w:val="00657093"/>
    <w:rsid w:val="006570A3"/>
    <w:rsid w:val="00657278"/>
    <w:rsid w:val="0065777B"/>
    <w:rsid w:val="006577BD"/>
    <w:rsid w:val="0065792E"/>
    <w:rsid w:val="006600E0"/>
    <w:rsid w:val="00660613"/>
    <w:rsid w:val="006607EB"/>
    <w:rsid w:val="00660874"/>
    <w:rsid w:val="00660C29"/>
    <w:rsid w:val="00660CB9"/>
    <w:rsid w:val="00660E2C"/>
    <w:rsid w:val="006613F4"/>
    <w:rsid w:val="006624DF"/>
    <w:rsid w:val="00662984"/>
    <w:rsid w:val="00663098"/>
    <w:rsid w:val="0066317B"/>
    <w:rsid w:val="00663674"/>
    <w:rsid w:val="006636FA"/>
    <w:rsid w:val="00663B7C"/>
    <w:rsid w:val="006645FE"/>
    <w:rsid w:val="006646BF"/>
    <w:rsid w:val="00665213"/>
    <w:rsid w:val="00665219"/>
    <w:rsid w:val="006657B4"/>
    <w:rsid w:val="00665854"/>
    <w:rsid w:val="00665C25"/>
    <w:rsid w:val="00665E9E"/>
    <w:rsid w:val="00665EBE"/>
    <w:rsid w:val="00665FB0"/>
    <w:rsid w:val="0066644F"/>
    <w:rsid w:val="00666706"/>
    <w:rsid w:val="00666E11"/>
    <w:rsid w:val="00666F61"/>
    <w:rsid w:val="0066745E"/>
    <w:rsid w:val="006676BB"/>
    <w:rsid w:val="00667E01"/>
    <w:rsid w:val="00667FA4"/>
    <w:rsid w:val="00670284"/>
    <w:rsid w:val="00670531"/>
    <w:rsid w:val="006707C6"/>
    <w:rsid w:val="00670B56"/>
    <w:rsid w:val="006715B9"/>
    <w:rsid w:val="006716E0"/>
    <w:rsid w:val="006717C5"/>
    <w:rsid w:val="00671B38"/>
    <w:rsid w:val="00671D00"/>
    <w:rsid w:val="00672113"/>
    <w:rsid w:val="006721AF"/>
    <w:rsid w:val="006723B1"/>
    <w:rsid w:val="0067260A"/>
    <w:rsid w:val="00672632"/>
    <w:rsid w:val="00672AD0"/>
    <w:rsid w:val="00672B10"/>
    <w:rsid w:val="00673537"/>
    <w:rsid w:val="00673BD3"/>
    <w:rsid w:val="00673FFA"/>
    <w:rsid w:val="0067475E"/>
    <w:rsid w:val="00674AEA"/>
    <w:rsid w:val="00674C76"/>
    <w:rsid w:val="00674E8B"/>
    <w:rsid w:val="00675802"/>
    <w:rsid w:val="00675896"/>
    <w:rsid w:val="00675F07"/>
    <w:rsid w:val="00676168"/>
    <w:rsid w:val="00676541"/>
    <w:rsid w:val="00676647"/>
    <w:rsid w:val="00677196"/>
    <w:rsid w:val="00677532"/>
    <w:rsid w:val="006778C9"/>
    <w:rsid w:val="00677A5B"/>
    <w:rsid w:val="00677FC7"/>
    <w:rsid w:val="006804FC"/>
    <w:rsid w:val="0068055B"/>
    <w:rsid w:val="00680A2A"/>
    <w:rsid w:val="00680B86"/>
    <w:rsid w:val="00680C3C"/>
    <w:rsid w:val="00680C83"/>
    <w:rsid w:val="00680CC2"/>
    <w:rsid w:val="00680CF3"/>
    <w:rsid w:val="006812D4"/>
    <w:rsid w:val="00681A46"/>
    <w:rsid w:val="006820DB"/>
    <w:rsid w:val="00682328"/>
    <w:rsid w:val="006825AA"/>
    <w:rsid w:val="00682CD6"/>
    <w:rsid w:val="0068323D"/>
    <w:rsid w:val="0068335A"/>
    <w:rsid w:val="006833B5"/>
    <w:rsid w:val="006833EB"/>
    <w:rsid w:val="00683628"/>
    <w:rsid w:val="00683D86"/>
    <w:rsid w:val="00683EF9"/>
    <w:rsid w:val="00683FB3"/>
    <w:rsid w:val="006841FC"/>
    <w:rsid w:val="0068484B"/>
    <w:rsid w:val="006848EF"/>
    <w:rsid w:val="00684AF1"/>
    <w:rsid w:val="00685490"/>
    <w:rsid w:val="0068556B"/>
    <w:rsid w:val="0068558B"/>
    <w:rsid w:val="00685872"/>
    <w:rsid w:val="00685CA1"/>
    <w:rsid w:val="00685D6B"/>
    <w:rsid w:val="006862B3"/>
    <w:rsid w:val="00686488"/>
    <w:rsid w:val="006865B2"/>
    <w:rsid w:val="006868BD"/>
    <w:rsid w:val="00686DC3"/>
    <w:rsid w:val="00686F37"/>
    <w:rsid w:val="00687351"/>
    <w:rsid w:val="006873FA"/>
    <w:rsid w:val="00687560"/>
    <w:rsid w:val="0068774A"/>
    <w:rsid w:val="00687818"/>
    <w:rsid w:val="00687CB8"/>
    <w:rsid w:val="00687CC4"/>
    <w:rsid w:val="00687FE2"/>
    <w:rsid w:val="006902A6"/>
    <w:rsid w:val="006906F4"/>
    <w:rsid w:val="006911AF"/>
    <w:rsid w:val="006914B0"/>
    <w:rsid w:val="00691803"/>
    <w:rsid w:val="006919B7"/>
    <w:rsid w:val="006919BA"/>
    <w:rsid w:val="00691A3F"/>
    <w:rsid w:val="00691E4D"/>
    <w:rsid w:val="00691E61"/>
    <w:rsid w:val="006920C2"/>
    <w:rsid w:val="006921E8"/>
    <w:rsid w:val="00692292"/>
    <w:rsid w:val="006924D5"/>
    <w:rsid w:val="006927BE"/>
    <w:rsid w:val="00692CA9"/>
    <w:rsid w:val="00692DAA"/>
    <w:rsid w:val="00692F02"/>
    <w:rsid w:val="006936A7"/>
    <w:rsid w:val="006939CD"/>
    <w:rsid w:val="00694BAE"/>
    <w:rsid w:val="00694E29"/>
    <w:rsid w:val="006952A4"/>
    <w:rsid w:val="0069565A"/>
    <w:rsid w:val="00695CDE"/>
    <w:rsid w:val="00696017"/>
    <w:rsid w:val="00696028"/>
    <w:rsid w:val="00696132"/>
    <w:rsid w:val="00696232"/>
    <w:rsid w:val="00696452"/>
    <w:rsid w:val="00696AC5"/>
    <w:rsid w:val="00696B86"/>
    <w:rsid w:val="00696D53"/>
    <w:rsid w:val="00696F88"/>
    <w:rsid w:val="0069718E"/>
    <w:rsid w:val="006973C5"/>
    <w:rsid w:val="00697423"/>
    <w:rsid w:val="00697897"/>
    <w:rsid w:val="006979FF"/>
    <w:rsid w:val="00697A26"/>
    <w:rsid w:val="006A053B"/>
    <w:rsid w:val="006A09F9"/>
    <w:rsid w:val="006A0F0D"/>
    <w:rsid w:val="006A0FB1"/>
    <w:rsid w:val="006A111C"/>
    <w:rsid w:val="006A11A8"/>
    <w:rsid w:val="006A11D4"/>
    <w:rsid w:val="006A1A3C"/>
    <w:rsid w:val="006A1AD8"/>
    <w:rsid w:val="006A1AF6"/>
    <w:rsid w:val="006A1B49"/>
    <w:rsid w:val="006A1B98"/>
    <w:rsid w:val="006A1BF6"/>
    <w:rsid w:val="006A1C36"/>
    <w:rsid w:val="006A1EE2"/>
    <w:rsid w:val="006A1FF2"/>
    <w:rsid w:val="006A2086"/>
    <w:rsid w:val="006A25AF"/>
    <w:rsid w:val="006A276D"/>
    <w:rsid w:val="006A280A"/>
    <w:rsid w:val="006A28ED"/>
    <w:rsid w:val="006A2BF1"/>
    <w:rsid w:val="006A3341"/>
    <w:rsid w:val="006A33A9"/>
    <w:rsid w:val="006A351F"/>
    <w:rsid w:val="006A3A1C"/>
    <w:rsid w:val="006A3AEB"/>
    <w:rsid w:val="006A3C08"/>
    <w:rsid w:val="006A3D10"/>
    <w:rsid w:val="006A3DC3"/>
    <w:rsid w:val="006A412B"/>
    <w:rsid w:val="006A42B4"/>
    <w:rsid w:val="006A444A"/>
    <w:rsid w:val="006A48B3"/>
    <w:rsid w:val="006A4B40"/>
    <w:rsid w:val="006A4B68"/>
    <w:rsid w:val="006A4D98"/>
    <w:rsid w:val="006A4FB7"/>
    <w:rsid w:val="006A51E5"/>
    <w:rsid w:val="006A53D0"/>
    <w:rsid w:val="006A56A6"/>
    <w:rsid w:val="006A5754"/>
    <w:rsid w:val="006A5AD6"/>
    <w:rsid w:val="006A5D2A"/>
    <w:rsid w:val="006A61FD"/>
    <w:rsid w:val="006A64D8"/>
    <w:rsid w:val="006A69FC"/>
    <w:rsid w:val="006A6FEC"/>
    <w:rsid w:val="006A702D"/>
    <w:rsid w:val="006A72BF"/>
    <w:rsid w:val="006A73B2"/>
    <w:rsid w:val="006A762D"/>
    <w:rsid w:val="006A76A7"/>
    <w:rsid w:val="006A7B4B"/>
    <w:rsid w:val="006A7CC9"/>
    <w:rsid w:val="006A7F8B"/>
    <w:rsid w:val="006B0289"/>
    <w:rsid w:val="006B036D"/>
    <w:rsid w:val="006B0612"/>
    <w:rsid w:val="006B0AE6"/>
    <w:rsid w:val="006B0C4F"/>
    <w:rsid w:val="006B0E4C"/>
    <w:rsid w:val="006B11B6"/>
    <w:rsid w:val="006B2AC0"/>
    <w:rsid w:val="006B2E45"/>
    <w:rsid w:val="006B2E51"/>
    <w:rsid w:val="006B3160"/>
    <w:rsid w:val="006B3174"/>
    <w:rsid w:val="006B33CC"/>
    <w:rsid w:val="006B348A"/>
    <w:rsid w:val="006B34B6"/>
    <w:rsid w:val="006B363C"/>
    <w:rsid w:val="006B3EE7"/>
    <w:rsid w:val="006B3F8C"/>
    <w:rsid w:val="006B4074"/>
    <w:rsid w:val="006B41B9"/>
    <w:rsid w:val="006B4276"/>
    <w:rsid w:val="006B4995"/>
    <w:rsid w:val="006B4DC8"/>
    <w:rsid w:val="006B4E17"/>
    <w:rsid w:val="006B4F8A"/>
    <w:rsid w:val="006B52CC"/>
    <w:rsid w:val="006B6012"/>
    <w:rsid w:val="006B642F"/>
    <w:rsid w:val="006B6A66"/>
    <w:rsid w:val="006B6F0B"/>
    <w:rsid w:val="006B7406"/>
    <w:rsid w:val="006B784B"/>
    <w:rsid w:val="006B7BB0"/>
    <w:rsid w:val="006B7DA4"/>
    <w:rsid w:val="006B7ED0"/>
    <w:rsid w:val="006C00C2"/>
    <w:rsid w:val="006C037B"/>
    <w:rsid w:val="006C0666"/>
    <w:rsid w:val="006C0ADB"/>
    <w:rsid w:val="006C0B00"/>
    <w:rsid w:val="006C0D85"/>
    <w:rsid w:val="006C1DFC"/>
    <w:rsid w:val="006C1FBA"/>
    <w:rsid w:val="006C1FBB"/>
    <w:rsid w:val="006C23D1"/>
    <w:rsid w:val="006C3110"/>
    <w:rsid w:val="006C3248"/>
    <w:rsid w:val="006C333E"/>
    <w:rsid w:val="006C33BB"/>
    <w:rsid w:val="006C3402"/>
    <w:rsid w:val="006C3550"/>
    <w:rsid w:val="006C3A0A"/>
    <w:rsid w:val="006C3B5A"/>
    <w:rsid w:val="006C3B90"/>
    <w:rsid w:val="006C3F07"/>
    <w:rsid w:val="006C3F1D"/>
    <w:rsid w:val="006C43FC"/>
    <w:rsid w:val="006C4679"/>
    <w:rsid w:val="006C4ABF"/>
    <w:rsid w:val="006C5A24"/>
    <w:rsid w:val="006C5EA7"/>
    <w:rsid w:val="006C5EB1"/>
    <w:rsid w:val="006C66A1"/>
    <w:rsid w:val="006C68A0"/>
    <w:rsid w:val="006C7009"/>
    <w:rsid w:val="006C71A6"/>
    <w:rsid w:val="006C77A2"/>
    <w:rsid w:val="006C7E60"/>
    <w:rsid w:val="006D05B5"/>
    <w:rsid w:val="006D0B71"/>
    <w:rsid w:val="006D0B8D"/>
    <w:rsid w:val="006D10A8"/>
    <w:rsid w:val="006D140A"/>
    <w:rsid w:val="006D1484"/>
    <w:rsid w:val="006D17AF"/>
    <w:rsid w:val="006D1C65"/>
    <w:rsid w:val="006D1D55"/>
    <w:rsid w:val="006D1F59"/>
    <w:rsid w:val="006D21C9"/>
    <w:rsid w:val="006D2617"/>
    <w:rsid w:val="006D2B5C"/>
    <w:rsid w:val="006D2FD1"/>
    <w:rsid w:val="006D32B2"/>
    <w:rsid w:val="006D33CA"/>
    <w:rsid w:val="006D3516"/>
    <w:rsid w:val="006D3A60"/>
    <w:rsid w:val="006D3ADF"/>
    <w:rsid w:val="006D3C8F"/>
    <w:rsid w:val="006D3D4D"/>
    <w:rsid w:val="006D3D53"/>
    <w:rsid w:val="006D3E2E"/>
    <w:rsid w:val="006D3E43"/>
    <w:rsid w:val="006D4118"/>
    <w:rsid w:val="006D4D84"/>
    <w:rsid w:val="006D53A3"/>
    <w:rsid w:val="006D5886"/>
    <w:rsid w:val="006D5B36"/>
    <w:rsid w:val="006D64F7"/>
    <w:rsid w:val="006D6869"/>
    <w:rsid w:val="006D6C3D"/>
    <w:rsid w:val="006D7EC4"/>
    <w:rsid w:val="006D7FCD"/>
    <w:rsid w:val="006E0367"/>
    <w:rsid w:val="006E0E83"/>
    <w:rsid w:val="006E0EC2"/>
    <w:rsid w:val="006E12CD"/>
    <w:rsid w:val="006E12DF"/>
    <w:rsid w:val="006E1660"/>
    <w:rsid w:val="006E24D9"/>
    <w:rsid w:val="006E2841"/>
    <w:rsid w:val="006E2FF2"/>
    <w:rsid w:val="006E33C0"/>
    <w:rsid w:val="006E356A"/>
    <w:rsid w:val="006E3696"/>
    <w:rsid w:val="006E39A9"/>
    <w:rsid w:val="006E40D1"/>
    <w:rsid w:val="006E4723"/>
    <w:rsid w:val="006E477F"/>
    <w:rsid w:val="006E478C"/>
    <w:rsid w:val="006E5445"/>
    <w:rsid w:val="006E544E"/>
    <w:rsid w:val="006E579A"/>
    <w:rsid w:val="006E621E"/>
    <w:rsid w:val="006E6A06"/>
    <w:rsid w:val="006E6D19"/>
    <w:rsid w:val="006E7119"/>
    <w:rsid w:val="006E74CB"/>
    <w:rsid w:val="006E7610"/>
    <w:rsid w:val="006E7A8B"/>
    <w:rsid w:val="006E7C74"/>
    <w:rsid w:val="006E7E27"/>
    <w:rsid w:val="006E7E40"/>
    <w:rsid w:val="006E7EF6"/>
    <w:rsid w:val="006F00CB"/>
    <w:rsid w:val="006F05F2"/>
    <w:rsid w:val="006F0B11"/>
    <w:rsid w:val="006F0DFE"/>
    <w:rsid w:val="006F0F20"/>
    <w:rsid w:val="006F107C"/>
    <w:rsid w:val="006F1856"/>
    <w:rsid w:val="006F1960"/>
    <w:rsid w:val="006F19EE"/>
    <w:rsid w:val="006F1A68"/>
    <w:rsid w:val="006F1B8D"/>
    <w:rsid w:val="006F1DB4"/>
    <w:rsid w:val="006F1E78"/>
    <w:rsid w:val="006F2358"/>
    <w:rsid w:val="006F2C1A"/>
    <w:rsid w:val="006F2C72"/>
    <w:rsid w:val="006F3201"/>
    <w:rsid w:val="006F3A1A"/>
    <w:rsid w:val="006F3B76"/>
    <w:rsid w:val="006F3E14"/>
    <w:rsid w:val="006F3E20"/>
    <w:rsid w:val="006F45DB"/>
    <w:rsid w:val="006F46B7"/>
    <w:rsid w:val="006F4A05"/>
    <w:rsid w:val="006F53C8"/>
    <w:rsid w:val="006F545C"/>
    <w:rsid w:val="006F5A71"/>
    <w:rsid w:val="006F5AD8"/>
    <w:rsid w:val="006F5D75"/>
    <w:rsid w:val="006F6329"/>
    <w:rsid w:val="006F6BEB"/>
    <w:rsid w:val="006F6C59"/>
    <w:rsid w:val="006F76B2"/>
    <w:rsid w:val="0070036B"/>
    <w:rsid w:val="00700472"/>
    <w:rsid w:val="00700C6D"/>
    <w:rsid w:val="007010FE"/>
    <w:rsid w:val="007011A1"/>
    <w:rsid w:val="00701341"/>
    <w:rsid w:val="0070171C"/>
    <w:rsid w:val="00701B5D"/>
    <w:rsid w:val="00701B7C"/>
    <w:rsid w:val="00701E30"/>
    <w:rsid w:val="0070263F"/>
    <w:rsid w:val="0070274D"/>
    <w:rsid w:val="00702C48"/>
    <w:rsid w:val="00702E11"/>
    <w:rsid w:val="007033BC"/>
    <w:rsid w:val="00704228"/>
    <w:rsid w:val="00704B95"/>
    <w:rsid w:val="0070506D"/>
    <w:rsid w:val="00705155"/>
    <w:rsid w:val="00705C24"/>
    <w:rsid w:val="00705F9A"/>
    <w:rsid w:val="00705FFC"/>
    <w:rsid w:val="0070675C"/>
    <w:rsid w:val="007067F2"/>
    <w:rsid w:val="00706E1D"/>
    <w:rsid w:val="00707917"/>
    <w:rsid w:val="00710367"/>
    <w:rsid w:val="00710767"/>
    <w:rsid w:val="00710A64"/>
    <w:rsid w:val="00710F0E"/>
    <w:rsid w:val="00711363"/>
    <w:rsid w:val="0071144B"/>
    <w:rsid w:val="00711A71"/>
    <w:rsid w:val="00711E23"/>
    <w:rsid w:val="00712870"/>
    <w:rsid w:val="00712A35"/>
    <w:rsid w:val="00712A7C"/>
    <w:rsid w:val="00712CCF"/>
    <w:rsid w:val="00712E55"/>
    <w:rsid w:val="00713074"/>
    <w:rsid w:val="007132F7"/>
    <w:rsid w:val="007136A9"/>
    <w:rsid w:val="007136D3"/>
    <w:rsid w:val="00713735"/>
    <w:rsid w:val="00713849"/>
    <w:rsid w:val="00714090"/>
    <w:rsid w:val="00714095"/>
    <w:rsid w:val="00714183"/>
    <w:rsid w:val="00714329"/>
    <w:rsid w:val="00714A74"/>
    <w:rsid w:val="00714B3B"/>
    <w:rsid w:val="00714E7B"/>
    <w:rsid w:val="007155F4"/>
    <w:rsid w:val="00715BE1"/>
    <w:rsid w:val="00716384"/>
    <w:rsid w:val="007169B0"/>
    <w:rsid w:val="00716A9E"/>
    <w:rsid w:val="0071752E"/>
    <w:rsid w:val="0071777D"/>
    <w:rsid w:val="00717B9E"/>
    <w:rsid w:val="00717FB5"/>
    <w:rsid w:val="007200C1"/>
    <w:rsid w:val="007203C9"/>
    <w:rsid w:val="00720524"/>
    <w:rsid w:val="00720856"/>
    <w:rsid w:val="00720865"/>
    <w:rsid w:val="007208E7"/>
    <w:rsid w:val="00720932"/>
    <w:rsid w:val="00720A1B"/>
    <w:rsid w:val="00720F27"/>
    <w:rsid w:val="0072102A"/>
    <w:rsid w:val="00722233"/>
    <w:rsid w:val="007223CE"/>
    <w:rsid w:val="007223DB"/>
    <w:rsid w:val="007223EB"/>
    <w:rsid w:val="00722BE0"/>
    <w:rsid w:val="00722DCB"/>
    <w:rsid w:val="0072301F"/>
    <w:rsid w:val="00723176"/>
    <w:rsid w:val="00723925"/>
    <w:rsid w:val="00723952"/>
    <w:rsid w:val="00723B64"/>
    <w:rsid w:val="00723F08"/>
    <w:rsid w:val="0072435F"/>
    <w:rsid w:val="0072490B"/>
    <w:rsid w:val="00724C1E"/>
    <w:rsid w:val="007261D3"/>
    <w:rsid w:val="00726429"/>
    <w:rsid w:val="007264E3"/>
    <w:rsid w:val="007269DA"/>
    <w:rsid w:val="00726A1A"/>
    <w:rsid w:val="00726DDE"/>
    <w:rsid w:val="007270AD"/>
    <w:rsid w:val="00730486"/>
    <w:rsid w:val="00730983"/>
    <w:rsid w:val="00730E53"/>
    <w:rsid w:val="007316D6"/>
    <w:rsid w:val="00731C15"/>
    <w:rsid w:val="007323D6"/>
    <w:rsid w:val="0073263A"/>
    <w:rsid w:val="007327E1"/>
    <w:rsid w:val="007327F0"/>
    <w:rsid w:val="00732CA1"/>
    <w:rsid w:val="00733574"/>
    <w:rsid w:val="0073372B"/>
    <w:rsid w:val="00733EE1"/>
    <w:rsid w:val="00734452"/>
    <w:rsid w:val="00734637"/>
    <w:rsid w:val="00734949"/>
    <w:rsid w:val="00734FFC"/>
    <w:rsid w:val="007350CD"/>
    <w:rsid w:val="007350D1"/>
    <w:rsid w:val="007353D5"/>
    <w:rsid w:val="007354CB"/>
    <w:rsid w:val="007355E9"/>
    <w:rsid w:val="007356D9"/>
    <w:rsid w:val="007358B2"/>
    <w:rsid w:val="007359D4"/>
    <w:rsid w:val="00735B9F"/>
    <w:rsid w:val="00735F17"/>
    <w:rsid w:val="00735F60"/>
    <w:rsid w:val="00736191"/>
    <w:rsid w:val="00736596"/>
    <w:rsid w:val="007367FF"/>
    <w:rsid w:val="007368B5"/>
    <w:rsid w:val="00736A3E"/>
    <w:rsid w:val="00737214"/>
    <w:rsid w:val="0073752E"/>
    <w:rsid w:val="007378DD"/>
    <w:rsid w:val="0074006A"/>
    <w:rsid w:val="007401CE"/>
    <w:rsid w:val="0074029C"/>
    <w:rsid w:val="0074059A"/>
    <w:rsid w:val="0074066B"/>
    <w:rsid w:val="007409DB"/>
    <w:rsid w:val="00740C14"/>
    <w:rsid w:val="00740FF8"/>
    <w:rsid w:val="0074102C"/>
    <w:rsid w:val="007414EF"/>
    <w:rsid w:val="007417A5"/>
    <w:rsid w:val="00742BCA"/>
    <w:rsid w:val="00743408"/>
    <w:rsid w:val="007436BD"/>
    <w:rsid w:val="00743853"/>
    <w:rsid w:val="00743E9C"/>
    <w:rsid w:val="007440B7"/>
    <w:rsid w:val="00744264"/>
    <w:rsid w:val="0074477B"/>
    <w:rsid w:val="00744786"/>
    <w:rsid w:val="007451CC"/>
    <w:rsid w:val="00745913"/>
    <w:rsid w:val="00745AE7"/>
    <w:rsid w:val="00745C6B"/>
    <w:rsid w:val="00745EF7"/>
    <w:rsid w:val="007469BB"/>
    <w:rsid w:val="00746A42"/>
    <w:rsid w:val="00746B01"/>
    <w:rsid w:val="00746EF5"/>
    <w:rsid w:val="00746F54"/>
    <w:rsid w:val="0074774B"/>
    <w:rsid w:val="00747D14"/>
    <w:rsid w:val="00747E9E"/>
    <w:rsid w:val="0075036C"/>
    <w:rsid w:val="007508F2"/>
    <w:rsid w:val="0075092F"/>
    <w:rsid w:val="00750997"/>
    <w:rsid w:val="00750C8A"/>
    <w:rsid w:val="00750F21"/>
    <w:rsid w:val="00751128"/>
    <w:rsid w:val="0075112A"/>
    <w:rsid w:val="00751545"/>
    <w:rsid w:val="007517D9"/>
    <w:rsid w:val="00751BDC"/>
    <w:rsid w:val="00751E3D"/>
    <w:rsid w:val="007527BF"/>
    <w:rsid w:val="00752ABC"/>
    <w:rsid w:val="00753941"/>
    <w:rsid w:val="0075466F"/>
    <w:rsid w:val="0075495E"/>
    <w:rsid w:val="00754A31"/>
    <w:rsid w:val="0075509E"/>
    <w:rsid w:val="00755953"/>
    <w:rsid w:val="00756676"/>
    <w:rsid w:val="00756DB4"/>
    <w:rsid w:val="007570B0"/>
    <w:rsid w:val="00757165"/>
    <w:rsid w:val="00757614"/>
    <w:rsid w:val="0075787A"/>
    <w:rsid w:val="00757B20"/>
    <w:rsid w:val="00757C48"/>
    <w:rsid w:val="00760AFA"/>
    <w:rsid w:val="00760B21"/>
    <w:rsid w:val="007611F8"/>
    <w:rsid w:val="00761AE9"/>
    <w:rsid w:val="00762582"/>
    <w:rsid w:val="007625A8"/>
    <w:rsid w:val="00762652"/>
    <w:rsid w:val="007628FD"/>
    <w:rsid w:val="00762AE6"/>
    <w:rsid w:val="00762EF9"/>
    <w:rsid w:val="00762F5E"/>
    <w:rsid w:val="00763008"/>
    <w:rsid w:val="00763420"/>
    <w:rsid w:val="0076400D"/>
    <w:rsid w:val="00764055"/>
    <w:rsid w:val="007640CB"/>
    <w:rsid w:val="007641B3"/>
    <w:rsid w:val="00764EC5"/>
    <w:rsid w:val="0076503D"/>
    <w:rsid w:val="00765488"/>
    <w:rsid w:val="00765634"/>
    <w:rsid w:val="007658A6"/>
    <w:rsid w:val="00766292"/>
    <w:rsid w:val="007663FD"/>
    <w:rsid w:val="0076659D"/>
    <w:rsid w:val="00766988"/>
    <w:rsid w:val="00766A6D"/>
    <w:rsid w:val="00766AA6"/>
    <w:rsid w:val="00766F28"/>
    <w:rsid w:val="00767180"/>
    <w:rsid w:val="007676E0"/>
    <w:rsid w:val="00767A44"/>
    <w:rsid w:val="00767A96"/>
    <w:rsid w:val="00767B7C"/>
    <w:rsid w:val="00767CB6"/>
    <w:rsid w:val="00767DF9"/>
    <w:rsid w:val="0077054B"/>
    <w:rsid w:val="00770EF5"/>
    <w:rsid w:val="007710C9"/>
    <w:rsid w:val="0077122B"/>
    <w:rsid w:val="007712F8"/>
    <w:rsid w:val="00771375"/>
    <w:rsid w:val="007713F7"/>
    <w:rsid w:val="00771467"/>
    <w:rsid w:val="00771D10"/>
    <w:rsid w:val="0077279A"/>
    <w:rsid w:val="00773576"/>
    <w:rsid w:val="00773A9C"/>
    <w:rsid w:val="00773BEB"/>
    <w:rsid w:val="00773D6F"/>
    <w:rsid w:val="00773E83"/>
    <w:rsid w:val="00773F8C"/>
    <w:rsid w:val="0077401B"/>
    <w:rsid w:val="00774B31"/>
    <w:rsid w:val="00774CF9"/>
    <w:rsid w:val="00774DA0"/>
    <w:rsid w:val="00775098"/>
    <w:rsid w:val="0077546F"/>
    <w:rsid w:val="00775549"/>
    <w:rsid w:val="007756EC"/>
    <w:rsid w:val="00775C5D"/>
    <w:rsid w:val="00776214"/>
    <w:rsid w:val="00776231"/>
    <w:rsid w:val="0077682B"/>
    <w:rsid w:val="0077687F"/>
    <w:rsid w:val="0077739A"/>
    <w:rsid w:val="007779BE"/>
    <w:rsid w:val="00780008"/>
    <w:rsid w:val="00780200"/>
    <w:rsid w:val="007803E2"/>
    <w:rsid w:val="00780548"/>
    <w:rsid w:val="0078059B"/>
    <w:rsid w:val="0078063E"/>
    <w:rsid w:val="007808E3"/>
    <w:rsid w:val="00780915"/>
    <w:rsid w:val="007809BD"/>
    <w:rsid w:val="00780EA5"/>
    <w:rsid w:val="0078116D"/>
    <w:rsid w:val="00781472"/>
    <w:rsid w:val="00781850"/>
    <w:rsid w:val="00781FB0"/>
    <w:rsid w:val="0078240C"/>
    <w:rsid w:val="00782414"/>
    <w:rsid w:val="0078319C"/>
    <w:rsid w:val="00783D45"/>
    <w:rsid w:val="00783E80"/>
    <w:rsid w:val="007846B1"/>
    <w:rsid w:val="00785023"/>
    <w:rsid w:val="00785249"/>
    <w:rsid w:val="00785653"/>
    <w:rsid w:val="00785758"/>
    <w:rsid w:val="00785E9C"/>
    <w:rsid w:val="007862F3"/>
    <w:rsid w:val="007863E8"/>
    <w:rsid w:val="007867B6"/>
    <w:rsid w:val="0078681D"/>
    <w:rsid w:val="007869BB"/>
    <w:rsid w:val="007869DF"/>
    <w:rsid w:val="00786A2A"/>
    <w:rsid w:val="00786DA1"/>
    <w:rsid w:val="00786FC0"/>
    <w:rsid w:val="00787122"/>
    <w:rsid w:val="0078730E"/>
    <w:rsid w:val="00787685"/>
    <w:rsid w:val="00787BF7"/>
    <w:rsid w:val="00787F44"/>
    <w:rsid w:val="007900FA"/>
    <w:rsid w:val="007901D8"/>
    <w:rsid w:val="00790EA5"/>
    <w:rsid w:val="007910D9"/>
    <w:rsid w:val="00791428"/>
    <w:rsid w:val="007917B0"/>
    <w:rsid w:val="00791E9C"/>
    <w:rsid w:val="00791F0F"/>
    <w:rsid w:val="00792D27"/>
    <w:rsid w:val="00793098"/>
    <w:rsid w:val="00793190"/>
    <w:rsid w:val="0079341D"/>
    <w:rsid w:val="0079413B"/>
    <w:rsid w:val="0079439B"/>
    <w:rsid w:val="00794626"/>
    <w:rsid w:val="0079473A"/>
    <w:rsid w:val="00794B6B"/>
    <w:rsid w:val="00794FE9"/>
    <w:rsid w:val="0079595F"/>
    <w:rsid w:val="00795C5F"/>
    <w:rsid w:val="00795D27"/>
    <w:rsid w:val="00795EF9"/>
    <w:rsid w:val="00795FB5"/>
    <w:rsid w:val="00796439"/>
    <w:rsid w:val="007964C5"/>
    <w:rsid w:val="007972D6"/>
    <w:rsid w:val="0079736B"/>
    <w:rsid w:val="00797422"/>
    <w:rsid w:val="00797810"/>
    <w:rsid w:val="007979B2"/>
    <w:rsid w:val="00797A83"/>
    <w:rsid w:val="00797BC6"/>
    <w:rsid w:val="00797FC4"/>
    <w:rsid w:val="007A044E"/>
    <w:rsid w:val="007A0822"/>
    <w:rsid w:val="007A0F48"/>
    <w:rsid w:val="007A1020"/>
    <w:rsid w:val="007A12CB"/>
    <w:rsid w:val="007A134C"/>
    <w:rsid w:val="007A19E2"/>
    <w:rsid w:val="007A1A0E"/>
    <w:rsid w:val="007A1A8A"/>
    <w:rsid w:val="007A218A"/>
    <w:rsid w:val="007A296C"/>
    <w:rsid w:val="007A3AD3"/>
    <w:rsid w:val="007A3B74"/>
    <w:rsid w:val="007A3CC4"/>
    <w:rsid w:val="007A3D66"/>
    <w:rsid w:val="007A4298"/>
    <w:rsid w:val="007A43B4"/>
    <w:rsid w:val="007A44F7"/>
    <w:rsid w:val="007A451A"/>
    <w:rsid w:val="007A4B0F"/>
    <w:rsid w:val="007A4CD2"/>
    <w:rsid w:val="007A4D49"/>
    <w:rsid w:val="007A521B"/>
    <w:rsid w:val="007A5E12"/>
    <w:rsid w:val="007A62CF"/>
    <w:rsid w:val="007A647A"/>
    <w:rsid w:val="007A6921"/>
    <w:rsid w:val="007A7287"/>
    <w:rsid w:val="007A72AD"/>
    <w:rsid w:val="007A7BB3"/>
    <w:rsid w:val="007B00DB"/>
    <w:rsid w:val="007B0188"/>
    <w:rsid w:val="007B056E"/>
    <w:rsid w:val="007B0873"/>
    <w:rsid w:val="007B09BF"/>
    <w:rsid w:val="007B10C0"/>
    <w:rsid w:val="007B1370"/>
    <w:rsid w:val="007B13F1"/>
    <w:rsid w:val="007B18D4"/>
    <w:rsid w:val="007B1940"/>
    <w:rsid w:val="007B1DE5"/>
    <w:rsid w:val="007B1F35"/>
    <w:rsid w:val="007B2488"/>
    <w:rsid w:val="007B3459"/>
    <w:rsid w:val="007B3816"/>
    <w:rsid w:val="007B3AD3"/>
    <w:rsid w:val="007B4147"/>
    <w:rsid w:val="007B481E"/>
    <w:rsid w:val="007B4935"/>
    <w:rsid w:val="007B4B25"/>
    <w:rsid w:val="007B4CE6"/>
    <w:rsid w:val="007B551E"/>
    <w:rsid w:val="007B5B6C"/>
    <w:rsid w:val="007B5C77"/>
    <w:rsid w:val="007B5CDC"/>
    <w:rsid w:val="007B60DE"/>
    <w:rsid w:val="007B6B64"/>
    <w:rsid w:val="007B70B2"/>
    <w:rsid w:val="007B70C0"/>
    <w:rsid w:val="007B70EC"/>
    <w:rsid w:val="007B70F6"/>
    <w:rsid w:val="007B74AC"/>
    <w:rsid w:val="007B7567"/>
    <w:rsid w:val="007B778A"/>
    <w:rsid w:val="007C0231"/>
    <w:rsid w:val="007C028F"/>
    <w:rsid w:val="007C0FFF"/>
    <w:rsid w:val="007C11E0"/>
    <w:rsid w:val="007C121D"/>
    <w:rsid w:val="007C1566"/>
    <w:rsid w:val="007C1FBF"/>
    <w:rsid w:val="007C2141"/>
    <w:rsid w:val="007C27E6"/>
    <w:rsid w:val="007C2C72"/>
    <w:rsid w:val="007C35CD"/>
    <w:rsid w:val="007C3C32"/>
    <w:rsid w:val="007C3C5A"/>
    <w:rsid w:val="007C40E6"/>
    <w:rsid w:val="007C467D"/>
    <w:rsid w:val="007C46CB"/>
    <w:rsid w:val="007C4EB5"/>
    <w:rsid w:val="007C5517"/>
    <w:rsid w:val="007C55CA"/>
    <w:rsid w:val="007C55E5"/>
    <w:rsid w:val="007C61AC"/>
    <w:rsid w:val="007C61B0"/>
    <w:rsid w:val="007C68AB"/>
    <w:rsid w:val="007C6AF1"/>
    <w:rsid w:val="007C6B1D"/>
    <w:rsid w:val="007C6F8A"/>
    <w:rsid w:val="007C7275"/>
    <w:rsid w:val="007C73BC"/>
    <w:rsid w:val="007C7CB6"/>
    <w:rsid w:val="007D058F"/>
    <w:rsid w:val="007D0784"/>
    <w:rsid w:val="007D1146"/>
    <w:rsid w:val="007D1170"/>
    <w:rsid w:val="007D2124"/>
    <w:rsid w:val="007D2A10"/>
    <w:rsid w:val="007D2B39"/>
    <w:rsid w:val="007D2BC2"/>
    <w:rsid w:val="007D2F3C"/>
    <w:rsid w:val="007D2F7C"/>
    <w:rsid w:val="007D30E4"/>
    <w:rsid w:val="007D326A"/>
    <w:rsid w:val="007D32F0"/>
    <w:rsid w:val="007D36F2"/>
    <w:rsid w:val="007D39A8"/>
    <w:rsid w:val="007D39E3"/>
    <w:rsid w:val="007D3A8C"/>
    <w:rsid w:val="007D3E9F"/>
    <w:rsid w:val="007D3F7F"/>
    <w:rsid w:val="007D414C"/>
    <w:rsid w:val="007D4946"/>
    <w:rsid w:val="007D588C"/>
    <w:rsid w:val="007D598F"/>
    <w:rsid w:val="007D5A72"/>
    <w:rsid w:val="007D5A96"/>
    <w:rsid w:val="007D5F56"/>
    <w:rsid w:val="007D6074"/>
    <w:rsid w:val="007D658B"/>
    <w:rsid w:val="007D6872"/>
    <w:rsid w:val="007D7011"/>
    <w:rsid w:val="007D7109"/>
    <w:rsid w:val="007D7149"/>
    <w:rsid w:val="007D731B"/>
    <w:rsid w:val="007D7A3D"/>
    <w:rsid w:val="007D7CF0"/>
    <w:rsid w:val="007E0AEC"/>
    <w:rsid w:val="007E0D16"/>
    <w:rsid w:val="007E149D"/>
    <w:rsid w:val="007E1615"/>
    <w:rsid w:val="007E1802"/>
    <w:rsid w:val="007E188A"/>
    <w:rsid w:val="007E1F9E"/>
    <w:rsid w:val="007E2226"/>
    <w:rsid w:val="007E24A5"/>
    <w:rsid w:val="007E26F4"/>
    <w:rsid w:val="007E2A47"/>
    <w:rsid w:val="007E2B65"/>
    <w:rsid w:val="007E2D35"/>
    <w:rsid w:val="007E3154"/>
    <w:rsid w:val="007E3175"/>
    <w:rsid w:val="007E320D"/>
    <w:rsid w:val="007E3236"/>
    <w:rsid w:val="007E3325"/>
    <w:rsid w:val="007E35CC"/>
    <w:rsid w:val="007E36D2"/>
    <w:rsid w:val="007E4A9B"/>
    <w:rsid w:val="007E51F0"/>
    <w:rsid w:val="007E5D1C"/>
    <w:rsid w:val="007E5D52"/>
    <w:rsid w:val="007E6EAF"/>
    <w:rsid w:val="007E6EDD"/>
    <w:rsid w:val="007E7058"/>
    <w:rsid w:val="007E7786"/>
    <w:rsid w:val="007E7BA1"/>
    <w:rsid w:val="007E7E9B"/>
    <w:rsid w:val="007F03FE"/>
    <w:rsid w:val="007F07BA"/>
    <w:rsid w:val="007F0D12"/>
    <w:rsid w:val="007F0E36"/>
    <w:rsid w:val="007F1601"/>
    <w:rsid w:val="007F1615"/>
    <w:rsid w:val="007F177B"/>
    <w:rsid w:val="007F1896"/>
    <w:rsid w:val="007F19B1"/>
    <w:rsid w:val="007F1A0A"/>
    <w:rsid w:val="007F1A5A"/>
    <w:rsid w:val="007F1E2F"/>
    <w:rsid w:val="007F248B"/>
    <w:rsid w:val="007F250D"/>
    <w:rsid w:val="007F26CD"/>
    <w:rsid w:val="007F2D80"/>
    <w:rsid w:val="007F32BD"/>
    <w:rsid w:val="007F395F"/>
    <w:rsid w:val="007F3D3C"/>
    <w:rsid w:val="007F42F7"/>
    <w:rsid w:val="007F446B"/>
    <w:rsid w:val="007F4ADB"/>
    <w:rsid w:val="007F4BC1"/>
    <w:rsid w:val="007F5327"/>
    <w:rsid w:val="007F5897"/>
    <w:rsid w:val="007F5996"/>
    <w:rsid w:val="007F5B18"/>
    <w:rsid w:val="007F6273"/>
    <w:rsid w:val="007F62D2"/>
    <w:rsid w:val="007F62FC"/>
    <w:rsid w:val="007F695D"/>
    <w:rsid w:val="007F6BE2"/>
    <w:rsid w:val="007F793B"/>
    <w:rsid w:val="007F7AF7"/>
    <w:rsid w:val="007F7DB9"/>
    <w:rsid w:val="00800B7F"/>
    <w:rsid w:val="00800D14"/>
    <w:rsid w:val="00801114"/>
    <w:rsid w:val="00801250"/>
    <w:rsid w:val="00801576"/>
    <w:rsid w:val="00801878"/>
    <w:rsid w:val="00801CD3"/>
    <w:rsid w:val="00802548"/>
    <w:rsid w:val="008025D1"/>
    <w:rsid w:val="0080303E"/>
    <w:rsid w:val="0080322F"/>
    <w:rsid w:val="008032B8"/>
    <w:rsid w:val="00803A0F"/>
    <w:rsid w:val="00804772"/>
    <w:rsid w:val="008049B0"/>
    <w:rsid w:val="008049EE"/>
    <w:rsid w:val="0080518B"/>
    <w:rsid w:val="008053F7"/>
    <w:rsid w:val="00805708"/>
    <w:rsid w:val="00805B85"/>
    <w:rsid w:val="00806134"/>
    <w:rsid w:val="00806309"/>
    <w:rsid w:val="008066E8"/>
    <w:rsid w:val="008067A4"/>
    <w:rsid w:val="0080687B"/>
    <w:rsid w:val="008069E4"/>
    <w:rsid w:val="00806CB2"/>
    <w:rsid w:val="008071A2"/>
    <w:rsid w:val="0080727D"/>
    <w:rsid w:val="00807642"/>
    <w:rsid w:val="008076CA"/>
    <w:rsid w:val="00810C14"/>
    <w:rsid w:val="00810E66"/>
    <w:rsid w:val="0081122A"/>
    <w:rsid w:val="0081133B"/>
    <w:rsid w:val="00811594"/>
    <w:rsid w:val="00812235"/>
    <w:rsid w:val="0081313A"/>
    <w:rsid w:val="008136CC"/>
    <w:rsid w:val="008139DF"/>
    <w:rsid w:val="00813B7D"/>
    <w:rsid w:val="00813C3E"/>
    <w:rsid w:val="00813F37"/>
    <w:rsid w:val="0081473E"/>
    <w:rsid w:val="00814774"/>
    <w:rsid w:val="008159CF"/>
    <w:rsid w:val="00815A23"/>
    <w:rsid w:val="00816C1C"/>
    <w:rsid w:val="00816DEF"/>
    <w:rsid w:val="0081710B"/>
    <w:rsid w:val="008173A1"/>
    <w:rsid w:val="008177AB"/>
    <w:rsid w:val="00817A2E"/>
    <w:rsid w:val="00817DBB"/>
    <w:rsid w:val="00817E29"/>
    <w:rsid w:val="0082013C"/>
    <w:rsid w:val="00820271"/>
    <w:rsid w:val="00820528"/>
    <w:rsid w:val="0082057B"/>
    <w:rsid w:val="008207CA"/>
    <w:rsid w:val="00820E95"/>
    <w:rsid w:val="008210C0"/>
    <w:rsid w:val="00821403"/>
    <w:rsid w:val="00821942"/>
    <w:rsid w:val="00821EE5"/>
    <w:rsid w:val="0082259D"/>
    <w:rsid w:val="00822613"/>
    <w:rsid w:val="00822CD9"/>
    <w:rsid w:val="00822E76"/>
    <w:rsid w:val="00822EA5"/>
    <w:rsid w:val="00822F22"/>
    <w:rsid w:val="008230CD"/>
    <w:rsid w:val="0082311B"/>
    <w:rsid w:val="0082312F"/>
    <w:rsid w:val="00823447"/>
    <w:rsid w:val="00823548"/>
    <w:rsid w:val="008238B2"/>
    <w:rsid w:val="00823BAA"/>
    <w:rsid w:val="00824219"/>
    <w:rsid w:val="00824910"/>
    <w:rsid w:val="00824A9A"/>
    <w:rsid w:val="00824EFD"/>
    <w:rsid w:val="008252F5"/>
    <w:rsid w:val="00825587"/>
    <w:rsid w:val="00825E0A"/>
    <w:rsid w:val="00825FF9"/>
    <w:rsid w:val="00826113"/>
    <w:rsid w:val="00826213"/>
    <w:rsid w:val="0082695A"/>
    <w:rsid w:val="00826B57"/>
    <w:rsid w:val="00826D38"/>
    <w:rsid w:val="00826E40"/>
    <w:rsid w:val="008270E6"/>
    <w:rsid w:val="008272F9"/>
    <w:rsid w:val="00827352"/>
    <w:rsid w:val="00827591"/>
    <w:rsid w:val="0082791B"/>
    <w:rsid w:val="00827CA9"/>
    <w:rsid w:val="00827D58"/>
    <w:rsid w:val="00827E9A"/>
    <w:rsid w:val="00827FD9"/>
    <w:rsid w:val="008300AD"/>
    <w:rsid w:val="008308EB"/>
    <w:rsid w:val="00830E53"/>
    <w:rsid w:val="00830F53"/>
    <w:rsid w:val="00831119"/>
    <w:rsid w:val="00831398"/>
    <w:rsid w:val="00831674"/>
    <w:rsid w:val="00831793"/>
    <w:rsid w:val="008320C9"/>
    <w:rsid w:val="0083233B"/>
    <w:rsid w:val="008324B7"/>
    <w:rsid w:val="008328FF"/>
    <w:rsid w:val="008329FD"/>
    <w:rsid w:val="00832D81"/>
    <w:rsid w:val="00832E5B"/>
    <w:rsid w:val="00832FAD"/>
    <w:rsid w:val="00833267"/>
    <w:rsid w:val="008335B3"/>
    <w:rsid w:val="00833678"/>
    <w:rsid w:val="008337AE"/>
    <w:rsid w:val="008338E4"/>
    <w:rsid w:val="00833970"/>
    <w:rsid w:val="008340D3"/>
    <w:rsid w:val="00834E43"/>
    <w:rsid w:val="00834EF1"/>
    <w:rsid w:val="00835363"/>
    <w:rsid w:val="008353AA"/>
    <w:rsid w:val="00835417"/>
    <w:rsid w:val="00835525"/>
    <w:rsid w:val="00836114"/>
    <w:rsid w:val="00836154"/>
    <w:rsid w:val="008364A4"/>
    <w:rsid w:val="00836532"/>
    <w:rsid w:val="0083663E"/>
    <w:rsid w:val="0083740D"/>
    <w:rsid w:val="00837A61"/>
    <w:rsid w:val="00837B90"/>
    <w:rsid w:val="00837EB8"/>
    <w:rsid w:val="008403DC"/>
    <w:rsid w:val="00840D94"/>
    <w:rsid w:val="008414DA"/>
    <w:rsid w:val="008419B2"/>
    <w:rsid w:val="008421B9"/>
    <w:rsid w:val="0084298B"/>
    <w:rsid w:val="00842A0F"/>
    <w:rsid w:val="0084307A"/>
    <w:rsid w:val="00844845"/>
    <w:rsid w:val="008448CD"/>
    <w:rsid w:val="00844C5D"/>
    <w:rsid w:val="00844FEA"/>
    <w:rsid w:val="00845014"/>
    <w:rsid w:val="008454DE"/>
    <w:rsid w:val="008457F4"/>
    <w:rsid w:val="00846069"/>
    <w:rsid w:val="0084612C"/>
    <w:rsid w:val="00846A32"/>
    <w:rsid w:val="00847220"/>
    <w:rsid w:val="008474CF"/>
    <w:rsid w:val="008475BF"/>
    <w:rsid w:val="00847BEB"/>
    <w:rsid w:val="00850099"/>
    <w:rsid w:val="0085016A"/>
    <w:rsid w:val="00850ACB"/>
    <w:rsid w:val="00851063"/>
    <w:rsid w:val="0085108B"/>
    <w:rsid w:val="0085190C"/>
    <w:rsid w:val="008519F7"/>
    <w:rsid w:val="00851B15"/>
    <w:rsid w:val="00852015"/>
    <w:rsid w:val="00852871"/>
    <w:rsid w:val="00853422"/>
    <w:rsid w:val="00853ACB"/>
    <w:rsid w:val="00853AF3"/>
    <w:rsid w:val="00853D3E"/>
    <w:rsid w:val="00853F77"/>
    <w:rsid w:val="00854033"/>
    <w:rsid w:val="00854281"/>
    <w:rsid w:val="0085442B"/>
    <w:rsid w:val="008546EB"/>
    <w:rsid w:val="00854720"/>
    <w:rsid w:val="00854853"/>
    <w:rsid w:val="008549E1"/>
    <w:rsid w:val="00854A13"/>
    <w:rsid w:val="00855A25"/>
    <w:rsid w:val="0085613C"/>
    <w:rsid w:val="00856316"/>
    <w:rsid w:val="0085659E"/>
    <w:rsid w:val="008567B4"/>
    <w:rsid w:val="008568A0"/>
    <w:rsid w:val="008568FF"/>
    <w:rsid w:val="00857D08"/>
    <w:rsid w:val="0086011D"/>
    <w:rsid w:val="008602A8"/>
    <w:rsid w:val="008607E7"/>
    <w:rsid w:val="00860800"/>
    <w:rsid w:val="00860C92"/>
    <w:rsid w:val="008613B4"/>
    <w:rsid w:val="00862035"/>
    <w:rsid w:val="00862234"/>
    <w:rsid w:val="008626E3"/>
    <w:rsid w:val="008633C4"/>
    <w:rsid w:val="00864309"/>
    <w:rsid w:val="008644D2"/>
    <w:rsid w:val="008652BF"/>
    <w:rsid w:val="00865ABE"/>
    <w:rsid w:val="00865B29"/>
    <w:rsid w:val="00865E66"/>
    <w:rsid w:val="00865FBA"/>
    <w:rsid w:val="008660C0"/>
    <w:rsid w:val="008665E1"/>
    <w:rsid w:val="0086666F"/>
    <w:rsid w:val="008668E7"/>
    <w:rsid w:val="00866B6A"/>
    <w:rsid w:val="00866DEF"/>
    <w:rsid w:val="00866F63"/>
    <w:rsid w:val="008671B2"/>
    <w:rsid w:val="0086725E"/>
    <w:rsid w:val="008674C5"/>
    <w:rsid w:val="008674F5"/>
    <w:rsid w:val="008676E8"/>
    <w:rsid w:val="00867709"/>
    <w:rsid w:val="008679C0"/>
    <w:rsid w:val="00867B30"/>
    <w:rsid w:val="00870271"/>
    <w:rsid w:val="008715F6"/>
    <w:rsid w:val="00871748"/>
    <w:rsid w:val="00871E57"/>
    <w:rsid w:val="00871E7C"/>
    <w:rsid w:val="00871F64"/>
    <w:rsid w:val="00872338"/>
    <w:rsid w:val="0087251A"/>
    <w:rsid w:val="00872B41"/>
    <w:rsid w:val="00872E6D"/>
    <w:rsid w:val="0087309A"/>
    <w:rsid w:val="0087334A"/>
    <w:rsid w:val="008738E9"/>
    <w:rsid w:val="00873CD7"/>
    <w:rsid w:val="00873D8F"/>
    <w:rsid w:val="00873E24"/>
    <w:rsid w:val="0087413B"/>
    <w:rsid w:val="00874F67"/>
    <w:rsid w:val="008750F3"/>
    <w:rsid w:val="00875719"/>
    <w:rsid w:val="00875919"/>
    <w:rsid w:val="00875CD1"/>
    <w:rsid w:val="00876525"/>
    <w:rsid w:val="0087680B"/>
    <w:rsid w:val="00876CEA"/>
    <w:rsid w:val="0087764D"/>
    <w:rsid w:val="0088022B"/>
    <w:rsid w:val="0088058F"/>
    <w:rsid w:val="00880B6C"/>
    <w:rsid w:val="0088109E"/>
    <w:rsid w:val="00881363"/>
    <w:rsid w:val="008813BD"/>
    <w:rsid w:val="00881530"/>
    <w:rsid w:val="00881770"/>
    <w:rsid w:val="008818DC"/>
    <w:rsid w:val="0088199E"/>
    <w:rsid w:val="00881EE5"/>
    <w:rsid w:val="00881F3E"/>
    <w:rsid w:val="0088208A"/>
    <w:rsid w:val="00882515"/>
    <w:rsid w:val="008826CE"/>
    <w:rsid w:val="00882E79"/>
    <w:rsid w:val="00882F4D"/>
    <w:rsid w:val="00883738"/>
    <w:rsid w:val="008838DF"/>
    <w:rsid w:val="00883A84"/>
    <w:rsid w:val="00883AD8"/>
    <w:rsid w:val="00883B20"/>
    <w:rsid w:val="00883B32"/>
    <w:rsid w:val="00883C07"/>
    <w:rsid w:val="00883C27"/>
    <w:rsid w:val="00883E62"/>
    <w:rsid w:val="00884182"/>
    <w:rsid w:val="0088454C"/>
    <w:rsid w:val="00884577"/>
    <w:rsid w:val="00884C3F"/>
    <w:rsid w:val="00885207"/>
    <w:rsid w:val="00885597"/>
    <w:rsid w:val="008856C8"/>
    <w:rsid w:val="008859ED"/>
    <w:rsid w:val="008860D3"/>
    <w:rsid w:val="008865B5"/>
    <w:rsid w:val="008866ED"/>
    <w:rsid w:val="00886F91"/>
    <w:rsid w:val="0088757A"/>
    <w:rsid w:val="008901F1"/>
    <w:rsid w:val="008903D5"/>
    <w:rsid w:val="0089063B"/>
    <w:rsid w:val="00890F25"/>
    <w:rsid w:val="0089161B"/>
    <w:rsid w:val="00891635"/>
    <w:rsid w:val="00891F27"/>
    <w:rsid w:val="0089201B"/>
    <w:rsid w:val="008920CA"/>
    <w:rsid w:val="008924A9"/>
    <w:rsid w:val="00892604"/>
    <w:rsid w:val="00892E8E"/>
    <w:rsid w:val="008932CF"/>
    <w:rsid w:val="00893889"/>
    <w:rsid w:val="008940E3"/>
    <w:rsid w:val="00894866"/>
    <w:rsid w:val="00894940"/>
    <w:rsid w:val="00894988"/>
    <w:rsid w:val="008951B1"/>
    <w:rsid w:val="00895639"/>
    <w:rsid w:val="0089587A"/>
    <w:rsid w:val="0089603B"/>
    <w:rsid w:val="00896624"/>
    <w:rsid w:val="00896968"/>
    <w:rsid w:val="00897305"/>
    <w:rsid w:val="008976EB"/>
    <w:rsid w:val="00897A48"/>
    <w:rsid w:val="00897B27"/>
    <w:rsid w:val="00897D59"/>
    <w:rsid w:val="008A0054"/>
    <w:rsid w:val="008A008C"/>
    <w:rsid w:val="008A05B6"/>
    <w:rsid w:val="008A05D4"/>
    <w:rsid w:val="008A0679"/>
    <w:rsid w:val="008A0A34"/>
    <w:rsid w:val="008A0B17"/>
    <w:rsid w:val="008A0D90"/>
    <w:rsid w:val="008A1067"/>
    <w:rsid w:val="008A130F"/>
    <w:rsid w:val="008A13EE"/>
    <w:rsid w:val="008A1417"/>
    <w:rsid w:val="008A1650"/>
    <w:rsid w:val="008A1DF5"/>
    <w:rsid w:val="008A1FF0"/>
    <w:rsid w:val="008A210B"/>
    <w:rsid w:val="008A2406"/>
    <w:rsid w:val="008A257E"/>
    <w:rsid w:val="008A27C9"/>
    <w:rsid w:val="008A3337"/>
    <w:rsid w:val="008A39C0"/>
    <w:rsid w:val="008A39F8"/>
    <w:rsid w:val="008A3A1C"/>
    <w:rsid w:val="008A4074"/>
    <w:rsid w:val="008A41F9"/>
    <w:rsid w:val="008A4FAE"/>
    <w:rsid w:val="008A5193"/>
    <w:rsid w:val="008A5C17"/>
    <w:rsid w:val="008A61D7"/>
    <w:rsid w:val="008A620E"/>
    <w:rsid w:val="008A6360"/>
    <w:rsid w:val="008A63C5"/>
    <w:rsid w:val="008A6580"/>
    <w:rsid w:val="008A66CA"/>
    <w:rsid w:val="008A6795"/>
    <w:rsid w:val="008A6970"/>
    <w:rsid w:val="008A6B56"/>
    <w:rsid w:val="008A6B7A"/>
    <w:rsid w:val="008A6D56"/>
    <w:rsid w:val="008A6DD0"/>
    <w:rsid w:val="008A70F4"/>
    <w:rsid w:val="008A747A"/>
    <w:rsid w:val="008A76E2"/>
    <w:rsid w:val="008A780E"/>
    <w:rsid w:val="008A7954"/>
    <w:rsid w:val="008A79AD"/>
    <w:rsid w:val="008A7F54"/>
    <w:rsid w:val="008A7FC3"/>
    <w:rsid w:val="008B008F"/>
    <w:rsid w:val="008B0B2F"/>
    <w:rsid w:val="008B1582"/>
    <w:rsid w:val="008B20ED"/>
    <w:rsid w:val="008B2115"/>
    <w:rsid w:val="008B2763"/>
    <w:rsid w:val="008B301D"/>
    <w:rsid w:val="008B3126"/>
    <w:rsid w:val="008B36E9"/>
    <w:rsid w:val="008B3ADA"/>
    <w:rsid w:val="008B3DEF"/>
    <w:rsid w:val="008B40DB"/>
    <w:rsid w:val="008B4572"/>
    <w:rsid w:val="008B4C59"/>
    <w:rsid w:val="008B5D5B"/>
    <w:rsid w:val="008B63B1"/>
    <w:rsid w:val="008B65D6"/>
    <w:rsid w:val="008B6679"/>
    <w:rsid w:val="008B66B8"/>
    <w:rsid w:val="008B66F4"/>
    <w:rsid w:val="008B7267"/>
    <w:rsid w:val="008B768E"/>
    <w:rsid w:val="008B7B96"/>
    <w:rsid w:val="008B7D15"/>
    <w:rsid w:val="008B7FDB"/>
    <w:rsid w:val="008C0918"/>
    <w:rsid w:val="008C0D16"/>
    <w:rsid w:val="008C10BA"/>
    <w:rsid w:val="008C1217"/>
    <w:rsid w:val="008C1865"/>
    <w:rsid w:val="008C1894"/>
    <w:rsid w:val="008C1B00"/>
    <w:rsid w:val="008C1FC8"/>
    <w:rsid w:val="008C1FED"/>
    <w:rsid w:val="008C1FF0"/>
    <w:rsid w:val="008C20B0"/>
    <w:rsid w:val="008C2671"/>
    <w:rsid w:val="008C29C7"/>
    <w:rsid w:val="008C3195"/>
    <w:rsid w:val="008C3A04"/>
    <w:rsid w:val="008C3A6A"/>
    <w:rsid w:val="008C403F"/>
    <w:rsid w:val="008C41A5"/>
    <w:rsid w:val="008C4968"/>
    <w:rsid w:val="008C51D6"/>
    <w:rsid w:val="008C5239"/>
    <w:rsid w:val="008C5837"/>
    <w:rsid w:val="008C6119"/>
    <w:rsid w:val="008C633D"/>
    <w:rsid w:val="008C640C"/>
    <w:rsid w:val="008C658A"/>
    <w:rsid w:val="008C6620"/>
    <w:rsid w:val="008C6D30"/>
    <w:rsid w:val="008C71DD"/>
    <w:rsid w:val="008C7BA2"/>
    <w:rsid w:val="008D00EE"/>
    <w:rsid w:val="008D05C6"/>
    <w:rsid w:val="008D07F5"/>
    <w:rsid w:val="008D0A52"/>
    <w:rsid w:val="008D0A80"/>
    <w:rsid w:val="008D0D48"/>
    <w:rsid w:val="008D10B2"/>
    <w:rsid w:val="008D1227"/>
    <w:rsid w:val="008D170E"/>
    <w:rsid w:val="008D19F7"/>
    <w:rsid w:val="008D1A9D"/>
    <w:rsid w:val="008D1C96"/>
    <w:rsid w:val="008D1D6C"/>
    <w:rsid w:val="008D21A5"/>
    <w:rsid w:val="008D2F86"/>
    <w:rsid w:val="008D33CE"/>
    <w:rsid w:val="008D33F3"/>
    <w:rsid w:val="008D3889"/>
    <w:rsid w:val="008D3B10"/>
    <w:rsid w:val="008D3B26"/>
    <w:rsid w:val="008D4244"/>
    <w:rsid w:val="008D431A"/>
    <w:rsid w:val="008D4FF5"/>
    <w:rsid w:val="008D516D"/>
    <w:rsid w:val="008D5234"/>
    <w:rsid w:val="008D5288"/>
    <w:rsid w:val="008D54AE"/>
    <w:rsid w:val="008D5ACA"/>
    <w:rsid w:val="008D5CA3"/>
    <w:rsid w:val="008D5D13"/>
    <w:rsid w:val="008D5E39"/>
    <w:rsid w:val="008D608C"/>
    <w:rsid w:val="008D645C"/>
    <w:rsid w:val="008D6630"/>
    <w:rsid w:val="008D6D07"/>
    <w:rsid w:val="008D6D72"/>
    <w:rsid w:val="008D6EEC"/>
    <w:rsid w:val="008D73F3"/>
    <w:rsid w:val="008D76A5"/>
    <w:rsid w:val="008D7D6E"/>
    <w:rsid w:val="008D7DD8"/>
    <w:rsid w:val="008D7E8A"/>
    <w:rsid w:val="008D7EEF"/>
    <w:rsid w:val="008E0384"/>
    <w:rsid w:val="008E062B"/>
    <w:rsid w:val="008E07F2"/>
    <w:rsid w:val="008E095A"/>
    <w:rsid w:val="008E0E3C"/>
    <w:rsid w:val="008E1105"/>
    <w:rsid w:val="008E13CD"/>
    <w:rsid w:val="008E16DA"/>
    <w:rsid w:val="008E18B9"/>
    <w:rsid w:val="008E1A9F"/>
    <w:rsid w:val="008E1B01"/>
    <w:rsid w:val="008E1CAD"/>
    <w:rsid w:val="008E1D5C"/>
    <w:rsid w:val="008E28C5"/>
    <w:rsid w:val="008E28EC"/>
    <w:rsid w:val="008E2C12"/>
    <w:rsid w:val="008E2CE1"/>
    <w:rsid w:val="008E2DCC"/>
    <w:rsid w:val="008E332D"/>
    <w:rsid w:val="008E347B"/>
    <w:rsid w:val="008E3483"/>
    <w:rsid w:val="008E415D"/>
    <w:rsid w:val="008E446C"/>
    <w:rsid w:val="008E4CE3"/>
    <w:rsid w:val="008E4D65"/>
    <w:rsid w:val="008E532D"/>
    <w:rsid w:val="008E5609"/>
    <w:rsid w:val="008E5686"/>
    <w:rsid w:val="008E5887"/>
    <w:rsid w:val="008E590B"/>
    <w:rsid w:val="008E5A41"/>
    <w:rsid w:val="008E665C"/>
    <w:rsid w:val="008E69BA"/>
    <w:rsid w:val="008E6A04"/>
    <w:rsid w:val="008E6AD2"/>
    <w:rsid w:val="008E6CDC"/>
    <w:rsid w:val="008E7186"/>
    <w:rsid w:val="008E7630"/>
    <w:rsid w:val="008E7AAC"/>
    <w:rsid w:val="008E7E40"/>
    <w:rsid w:val="008F00DD"/>
    <w:rsid w:val="008F00E0"/>
    <w:rsid w:val="008F0480"/>
    <w:rsid w:val="008F04B6"/>
    <w:rsid w:val="008F06CD"/>
    <w:rsid w:val="008F0BEF"/>
    <w:rsid w:val="008F1090"/>
    <w:rsid w:val="008F11A2"/>
    <w:rsid w:val="008F1B13"/>
    <w:rsid w:val="008F200B"/>
    <w:rsid w:val="008F20B0"/>
    <w:rsid w:val="008F21F1"/>
    <w:rsid w:val="008F24BC"/>
    <w:rsid w:val="008F2595"/>
    <w:rsid w:val="008F2B89"/>
    <w:rsid w:val="008F2BF9"/>
    <w:rsid w:val="008F2E50"/>
    <w:rsid w:val="008F2FD8"/>
    <w:rsid w:val="008F3C4C"/>
    <w:rsid w:val="008F3F7B"/>
    <w:rsid w:val="008F4216"/>
    <w:rsid w:val="008F4420"/>
    <w:rsid w:val="008F4FDE"/>
    <w:rsid w:val="008F50EC"/>
    <w:rsid w:val="008F6553"/>
    <w:rsid w:val="008F678D"/>
    <w:rsid w:val="008F6869"/>
    <w:rsid w:val="008F6952"/>
    <w:rsid w:val="008F6B64"/>
    <w:rsid w:val="008F6D5A"/>
    <w:rsid w:val="008F705B"/>
    <w:rsid w:val="008F785D"/>
    <w:rsid w:val="008F7BEF"/>
    <w:rsid w:val="00900786"/>
    <w:rsid w:val="00900A92"/>
    <w:rsid w:val="00900ADC"/>
    <w:rsid w:val="009018B3"/>
    <w:rsid w:val="009019A6"/>
    <w:rsid w:val="009020EB"/>
    <w:rsid w:val="0090226C"/>
    <w:rsid w:val="00902282"/>
    <w:rsid w:val="00902388"/>
    <w:rsid w:val="00902438"/>
    <w:rsid w:val="00902623"/>
    <w:rsid w:val="00902D24"/>
    <w:rsid w:val="009030E1"/>
    <w:rsid w:val="009041AB"/>
    <w:rsid w:val="00904402"/>
    <w:rsid w:val="009048A2"/>
    <w:rsid w:val="00904ACC"/>
    <w:rsid w:val="00904BCD"/>
    <w:rsid w:val="00904BCE"/>
    <w:rsid w:val="00904D5A"/>
    <w:rsid w:val="00904DAD"/>
    <w:rsid w:val="00904E37"/>
    <w:rsid w:val="00904EEB"/>
    <w:rsid w:val="009053AB"/>
    <w:rsid w:val="00905833"/>
    <w:rsid w:val="00905BCB"/>
    <w:rsid w:val="00906346"/>
    <w:rsid w:val="00906EDC"/>
    <w:rsid w:val="00906F0F"/>
    <w:rsid w:val="009072DC"/>
    <w:rsid w:val="009076F5"/>
    <w:rsid w:val="009104C7"/>
    <w:rsid w:val="00910A7C"/>
    <w:rsid w:val="00910D68"/>
    <w:rsid w:val="00910E9E"/>
    <w:rsid w:val="00910FF1"/>
    <w:rsid w:val="00911002"/>
    <w:rsid w:val="00911118"/>
    <w:rsid w:val="009111D3"/>
    <w:rsid w:val="00912711"/>
    <w:rsid w:val="009129B8"/>
    <w:rsid w:val="00912C98"/>
    <w:rsid w:val="00912FC2"/>
    <w:rsid w:val="00913678"/>
    <w:rsid w:val="00913BE2"/>
    <w:rsid w:val="00913D39"/>
    <w:rsid w:val="00913D6E"/>
    <w:rsid w:val="00914556"/>
    <w:rsid w:val="0091468A"/>
    <w:rsid w:val="009149AA"/>
    <w:rsid w:val="00914CD0"/>
    <w:rsid w:val="00915017"/>
    <w:rsid w:val="00915069"/>
    <w:rsid w:val="0091527D"/>
    <w:rsid w:val="009155E6"/>
    <w:rsid w:val="0091566F"/>
    <w:rsid w:val="00915685"/>
    <w:rsid w:val="00915AC2"/>
    <w:rsid w:val="00915DA0"/>
    <w:rsid w:val="00915DB3"/>
    <w:rsid w:val="00916BCB"/>
    <w:rsid w:val="00917297"/>
    <w:rsid w:val="009173F0"/>
    <w:rsid w:val="00917F56"/>
    <w:rsid w:val="00920562"/>
    <w:rsid w:val="0092058D"/>
    <w:rsid w:val="009208CB"/>
    <w:rsid w:val="00920956"/>
    <w:rsid w:val="00920F4F"/>
    <w:rsid w:val="00921249"/>
    <w:rsid w:val="009213B6"/>
    <w:rsid w:val="009214B4"/>
    <w:rsid w:val="009215E5"/>
    <w:rsid w:val="00921E1F"/>
    <w:rsid w:val="00922411"/>
    <w:rsid w:val="009227F1"/>
    <w:rsid w:val="00922BB8"/>
    <w:rsid w:val="00922C50"/>
    <w:rsid w:val="00922E0F"/>
    <w:rsid w:val="00922E76"/>
    <w:rsid w:val="00923078"/>
    <w:rsid w:val="009231D3"/>
    <w:rsid w:val="009232E0"/>
    <w:rsid w:val="009235E5"/>
    <w:rsid w:val="009242B6"/>
    <w:rsid w:val="00924655"/>
    <w:rsid w:val="009247C9"/>
    <w:rsid w:val="009248D2"/>
    <w:rsid w:val="00924999"/>
    <w:rsid w:val="00925232"/>
    <w:rsid w:val="00925312"/>
    <w:rsid w:val="009253CC"/>
    <w:rsid w:val="00925453"/>
    <w:rsid w:val="0092550D"/>
    <w:rsid w:val="00925676"/>
    <w:rsid w:val="00925D7A"/>
    <w:rsid w:val="00925DB7"/>
    <w:rsid w:val="0092626A"/>
    <w:rsid w:val="00926771"/>
    <w:rsid w:val="00926911"/>
    <w:rsid w:val="00926B0F"/>
    <w:rsid w:val="00926BC4"/>
    <w:rsid w:val="00926C84"/>
    <w:rsid w:val="00926D03"/>
    <w:rsid w:val="00927057"/>
    <w:rsid w:val="00927241"/>
    <w:rsid w:val="00927254"/>
    <w:rsid w:val="00927282"/>
    <w:rsid w:val="009278C2"/>
    <w:rsid w:val="00927BE2"/>
    <w:rsid w:val="00930105"/>
    <w:rsid w:val="00930476"/>
    <w:rsid w:val="00930511"/>
    <w:rsid w:val="009309CF"/>
    <w:rsid w:val="00930AA5"/>
    <w:rsid w:val="00930C61"/>
    <w:rsid w:val="00930D46"/>
    <w:rsid w:val="00931671"/>
    <w:rsid w:val="00931849"/>
    <w:rsid w:val="00931881"/>
    <w:rsid w:val="00931A14"/>
    <w:rsid w:val="00931B1C"/>
    <w:rsid w:val="00931B29"/>
    <w:rsid w:val="00931D0C"/>
    <w:rsid w:val="00932159"/>
    <w:rsid w:val="0093243F"/>
    <w:rsid w:val="00932517"/>
    <w:rsid w:val="0093291D"/>
    <w:rsid w:val="00932949"/>
    <w:rsid w:val="00932B36"/>
    <w:rsid w:val="00932E01"/>
    <w:rsid w:val="00933166"/>
    <w:rsid w:val="009340D0"/>
    <w:rsid w:val="00934684"/>
    <w:rsid w:val="00934BBD"/>
    <w:rsid w:val="00935190"/>
    <w:rsid w:val="00935241"/>
    <w:rsid w:val="00935352"/>
    <w:rsid w:val="00935523"/>
    <w:rsid w:val="00935A14"/>
    <w:rsid w:val="00935BFE"/>
    <w:rsid w:val="00936421"/>
    <w:rsid w:val="009364C9"/>
    <w:rsid w:val="0093666C"/>
    <w:rsid w:val="00937021"/>
    <w:rsid w:val="009373A2"/>
    <w:rsid w:val="009376B0"/>
    <w:rsid w:val="009377C0"/>
    <w:rsid w:val="009408D7"/>
    <w:rsid w:val="00940950"/>
    <w:rsid w:val="009409B2"/>
    <w:rsid w:val="00940A08"/>
    <w:rsid w:val="00940F10"/>
    <w:rsid w:val="0094159A"/>
    <w:rsid w:val="009415D2"/>
    <w:rsid w:val="0094162A"/>
    <w:rsid w:val="009416FD"/>
    <w:rsid w:val="009417C1"/>
    <w:rsid w:val="009426CA"/>
    <w:rsid w:val="00942B34"/>
    <w:rsid w:val="00942CB3"/>
    <w:rsid w:val="00942FEB"/>
    <w:rsid w:val="00943031"/>
    <w:rsid w:val="009433D1"/>
    <w:rsid w:val="00943A08"/>
    <w:rsid w:val="00943CE9"/>
    <w:rsid w:val="00943CF0"/>
    <w:rsid w:val="00943EDA"/>
    <w:rsid w:val="00944046"/>
    <w:rsid w:val="00944606"/>
    <w:rsid w:val="00944E38"/>
    <w:rsid w:val="00944E41"/>
    <w:rsid w:val="009451AB"/>
    <w:rsid w:val="00945C65"/>
    <w:rsid w:val="00946105"/>
    <w:rsid w:val="00946690"/>
    <w:rsid w:val="00946C5D"/>
    <w:rsid w:val="00946D76"/>
    <w:rsid w:val="0094709C"/>
    <w:rsid w:val="00947692"/>
    <w:rsid w:val="00947F7C"/>
    <w:rsid w:val="009509BD"/>
    <w:rsid w:val="00950F7D"/>
    <w:rsid w:val="009514AE"/>
    <w:rsid w:val="00952526"/>
    <w:rsid w:val="00952BA0"/>
    <w:rsid w:val="00953365"/>
    <w:rsid w:val="009533FD"/>
    <w:rsid w:val="00953513"/>
    <w:rsid w:val="00953938"/>
    <w:rsid w:val="00953BAC"/>
    <w:rsid w:val="00953BC9"/>
    <w:rsid w:val="00953E81"/>
    <w:rsid w:val="00953EBB"/>
    <w:rsid w:val="0095455D"/>
    <w:rsid w:val="009548B8"/>
    <w:rsid w:val="009549FE"/>
    <w:rsid w:val="00954D27"/>
    <w:rsid w:val="00954E23"/>
    <w:rsid w:val="00954EC4"/>
    <w:rsid w:val="00954F72"/>
    <w:rsid w:val="00955033"/>
    <w:rsid w:val="00955178"/>
    <w:rsid w:val="00955423"/>
    <w:rsid w:val="0095545D"/>
    <w:rsid w:val="009554C0"/>
    <w:rsid w:val="009558D0"/>
    <w:rsid w:val="009559D7"/>
    <w:rsid w:val="00955CC4"/>
    <w:rsid w:val="009569FE"/>
    <w:rsid w:val="00956D33"/>
    <w:rsid w:val="0095728C"/>
    <w:rsid w:val="00957624"/>
    <w:rsid w:val="0095774A"/>
    <w:rsid w:val="00960116"/>
    <w:rsid w:val="00960A14"/>
    <w:rsid w:val="00960E9D"/>
    <w:rsid w:val="00960EBC"/>
    <w:rsid w:val="009611FE"/>
    <w:rsid w:val="00961B44"/>
    <w:rsid w:val="009620CA"/>
    <w:rsid w:val="00962F12"/>
    <w:rsid w:val="009630D3"/>
    <w:rsid w:val="009631C0"/>
    <w:rsid w:val="00963294"/>
    <w:rsid w:val="00963295"/>
    <w:rsid w:val="009636A6"/>
    <w:rsid w:val="00963A86"/>
    <w:rsid w:val="00963F26"/>
    <w:rsid w:val="00964027"/>
    <w:rsid w:val="0096406F"/>
    <w:rsid w:val="0096432E"/>
    <w:rsid w:val="009648D6"/>
    <w:rsid w:val="00964CCB"/>
    <w:rsid w:val="00965129"/>
    <w:rsid w:val="00965A6C"/>
    <w:rsid w:val="00965D53"/>
    <w:rsid w:val="00965D88"/>
    <w:rsid w:val="009663A0"/>
    <w:rsid w:val="009668CD"/>
    <w:rsid w:val="00966BFC"/>
    <w:rsid w:val="0096712A"/>
    <w:rsid w:val="009672F8"/>
    <w:rsid w:val="00967342"/>
    <w:rsid w:val="00967C9C"/>
    <w:rsid w:val="009700D0"/>
    <w:rsid w:val="00970427"/>
    <w:rsid w:val="00970807"/>
    <w:rsid w:val="00970B45"/>
    <w:rsid w:val="00970BE4"/>
    <w:rsid w:val="00970DB5"/>
    <w:rsid w:val="00970DC8"/>
    <w:rsid w:val="00971127"/>
    <w:rsid w:val="00971177"/>
    <w:rsid w:val="00971635"/>
    <w:rsid w:val="00971666"/>
    <w:rsid w:val="00971CCA"/>
    <w:rsid w:val="0097204B"/>
    <w:rsid w:val="00972087"/>
    <w:rsid w:val="00972242"/>
    <w:rsid w:val="009725A4"/>
    <w:rsid w:val="00972733"/>
    <w:rsid w:val="00972833"/>
    <w:rsid w:val="00972AF4"/>
    <w:rsid w:val="00972D94"/>
    <w:rsid w:val="00973135"/>
    <w:rsid w:val="0097316F"/>
    <w:rsid w:val="00973267"/>
    <w:rsid w:val="009739F9"/>
    <w:rsid w:val="00973AE0"/>
    <w:rsid w:val="00973E48"/>
    <w:rsid w:val="009745EF"/>
    <w:rsid w:val="009749B1"/>
    <w:rsid w:val="00974A45"/>
    <w:rsid w:val="00974C7D"/>
    <w:rsid w:val="00974E21"/>
    <w:rsid w:val="00974EE5"/>
    <w:rsid w:val="00974EF9"/>
    <w:rsid w:val="00975372"/>
    <w:rsid w:val="00975399"/>
    <w:rsid w:val="0097594D"/>
    <w:rsid w:val="0097595A"/>
    <w:rsid w:val="00975E4A"/>
    <w:rsid w:val="009760D6"/>
    <w:rsid w:val="009768FD"/>
    <w:rsid w:val="0097690D"/>
    <w:rsid w:val="00976A61"/>
    <w:rsid w:val="00976A9D"/>
    <w:rsid w:val="00976AD3"/>
    <w:rsid w:val="00976C70"/>
    <w:rsid w:val="00976E00"/>
    <w:rsid w:val="009772C0"/>
    <w:rsid w:val="00977316"/>
    <w:rsid w:val="0097732B"/>
    <w:rsid w:val="0097777F"/>
    <w:rsid w:val="0097794C"/>
    <w:rsid w:val="00977E50"/>
    <w:rsid w:val="00980115"/>
    <w:rsid w:val="00980268"/>
    <w:rsid w:val="00980321"/>
    <w:rsid w:val="0098126A"/>
    <w:rsid w:val="009817E3"/>
    <w:rsid w:val="00981B64"/>
    <w:rsid w:val="00981E25"/>
    <w:rsid w:val="0098248D"/>
    <w:rsid w:val="00982996"/>
    <w:rsid w:val="00982CA3"/>
    <w:rsid w:val="00983016"/>
    <w:rsid w:val="00983152"/>
    <w:rsid w:val="0098322A"/>
    <w:rsid w:val="00983BF9"/>
    <w:rsid w:val="00983D2B"/>
    <w:rsid w:val="00983F9B"/>
    <w:rsid w:val="0098465B"/>
    <w:rsid w:val="00984D07"/>
    <w:rsid w:val="00984E8F"/>
    <w:rsid w:val="0098517D"/>
    <w:rsid w:val="00985564"/>
    <w:rsid w:val="009858FC"/>
    <w:rsid w:val="009859AB"/>
    <w:rsid w:val="009859BB"/>
    <w:rsid w:val="009863E7"/>
    <w:rsid w:val="00986404"/>
    <w:rsid w:val="00986728"/>
    <w:rsid w:val="009867FB"/>
    <w:rsid w:val="00986885"/>
    <w:rsid w:val="00986AF1"/>
    <w:rsid w:val="00986B22"/>
    <w:rsid w:val="00986B25"/>
    <w:rsid w:val="0098735C"/>
    <w:rsid w:val="009874F5"/>
    <w:rsid w:val="00987795"/>
    <w:rsid w:val="00987884"/>
    <w:rsid w:val="00987AE5"/>
    <w:rsid w:val="00987B4B"/>
    <w:rsid w:val="0099044B"/>
    <w:rsid w:val="00990B22"/>
    <w:rsid w:val="0099122A"/>
    <w:rsid w:val="00991568"/>
    <w:rsid w:val="009924F4"/>
    <w:rsid w:val="00992867"/>
    <w:rsid w:val="00992A0A"/>
    <w:rsid w:val="00992F5D"/>
    <w:rsid w:val="009936CB"/>
    <w:rsid w:val="009938F1"/>
    <w:rsid w:val="00993A84"/>
    <w:rsid w:val="00993F5B"/>
    <w:rsid w:val="00993F6F"/>
    <w:rsid w:val="009944AA"/>
    <w:rsid w:val="00994C22"/>
    <w:rsid w:val="00994EA5"/>
    <w:rsid w:val="00995264"/>
    <w:rsid w:val="00995769"/>
    <w:rsid w:val="009957E2"/>
    <w:rsid w:val="009958E5"/>
    <w:rsid w:val="00995C40"/>
    <w:rsid w:val="00995E4B"/>
    <w:rsid w:val="0099657C"/>
    <w:rsid w:val="00996A4C"/>
    <w:rsid w:val="00996B9C"/>
    <w:rsid w:val="00996BF7"/>
    <w:rsid w:val="00996CE2"/>
    <w:rsid w:val="00996DFD"/>
    <w:rsid w:val="009972B3"/>
    <w:rsid w:val="009977E9"/>
    <w:rsid w:val="00997EBD"/>
    <w:rsid w:val="00997F14"/>
    <w:rsid w:val="009A0695"/>
    <w:rsid w:val="009A094E"/>
    <w:rsid w:val="009A09E7"/>
    <w:rsid w:val="009A0BC1"/>
    <w:rsid w:val="009A0BE3"/>
    <w:rsid w:val="009A0D1B"/>
    <w:rsid w:val="009A0D4E"/>
    <w:rsid w:val="009A1155"/>
    <w:rsid w:val="009A220A"/>
    <w:rsid w:val="009A26C7"/>
    <w:rsid w:val="009A29F4"/>
    <w:rsid w:val="009A2FAE"/>
    <w:rsid w:val="009A2FBC"/>
    <w:rsid w:val="009A32CE"/>
    <w:rsid w:val="009A34C5"/>
    <w:rsid w:val="009A3943"/>
    <w:rsid w:val="009A3D7B"/>
    <w:rsid w:val="009A3D82"/>
    <w:rsid w:val="009A40F4"/>
    <w:rsid w:val="009A431B"/>
    <w:rsid w:val="009A491E"/>
    <w:rsid w:val="009A4BDE"/>
    <w:rsid w:val="009A547E"/>
    <w:rsid w:val="009A5ACE"/>
    <w:rsid w:val="009A645C"/>
    <w:rsid w:val="009A656F"/>
    <w:rsid w:val="009A6DD8"/>
    <w:rsid w:val="009A6E33"/>
    <w:rsid w:val="009A7114"/>
    <w:rsid w:val="009A7277"/>
    <w:rsid w:val="009A77EB"/>
    <w:rsid w:val="009A785A"/>
    <w:rsid w:val="009A7D1E"/>
    <w:rsid w:val="009A7FDE"/>
    <w:rsid w:val="009B0A4A"/>
    <w:rsid w:val="009B1052"/>
    <w:rsid w:val="009B145B"/>
    <w:rsid w:val="009B2374"/>
    <w:rsid w:val="009B23B9"/>
    <w:rsid w:val="009B2717"/>
    <w:rsid w:val="009B2CBA"/>
    <w:rsid w:val="009B3084"/>
    <w:rsid w:val="009B31C2"/>
    <w:rsid w:val="009B3267"/>
    <w:rsid w:val="009B373A"/>
    <w:rsid w:val="009B44AB"/>
    <w:rsid w:val="009B467E"/>
    <w:rsid w:val="009B46E9"/>
    <w:rsid w:val="009B4868"/>
    <w:rsid w:val="009B523D"/>
    <w:rsid w:val="009B5438"/>
    <w:rsid w:val="009B5581"/>
    <w:rsid w:val="009B5665"/>
    <w:rsid w:val="009B61BC"/>
    <w:rsid w:val="009B6599"/>
    <w:rsid w:val="009B72E2"/>
    <w:rsid w:val="009B7365"/>
    <w:rsid w:val="009B74D3"/>
    <w:rsid w:val="009B75D6"/>
    <w:rsid w:val="009B75F5"/>
    <w:rsid w:val="009B76C0"/>
    <w:rsid w:val="009B7918"/>
    <w:rsid w:val="009B7925"/>
    <w:rsid w:val="009B7A9D"/>
    <w:rsid w:val="009B7CFD"/>
    <w:rsid w:val="009B7E52"/>
    <w:rsid w:val="009C04A9"/>
    <w:rsid w:val="009C051B"/>
    <w:rsid w:val="009C06F9"/>
    <w:rsid w:val="009C0D2D"/>
    <w:rsid w:val="009C0F34"/>
    <w:rsid w:val="009C1383"/>
    <w:rsid w:val="009C32C6"/>
    <w:rsid w:val="009C376B"/>
    <w:rsid w:val="009C3AFE"/>
    <w:rsid w:val="009C3B23"/>
    <w:rsid w:val="009C3C13"/>
    <w:rsid w:val="009C3C3E"/>
    <w:rsid w:val="009C4538"/>
    <w:rsid w:val="009C463B"/>
    <w:rsid w:val="009C52B3"/>
    <w:rsid w:val="009C548A"/>
    <w:rsid w:val="009C5858"/>
    <w:rsid w:val="009C5A24"/>
    <w:rsid w:val="009C5DCC"/>
    <w:rsid w:val="009C6225"/>
    <w:rsid w:val="009C7283"/>
    <w:rsid w:val="009C72C6"/>
    <w:rsid w:val="009C73EC"/>
    <w:rsid w:val="009C7D4D"/>
    <w:rsid w:val="009D014A"/>
    <w:rsid w:val="009D078C"/>
    <w:rsid w:val="009D083F"/>
    <w:rsid w:val="009D0F04"/>
    <w:rsid w:val="009D0FB4"/>
    <w:rsid w:val="009D1735"/>
    <w:rsid w:val="009D1C6B"/>
    <w:rsid w:val="009D1E4B"/>
    <w:rsid w:val="009D1FC7"/>
    <w:rsid w:val="009D264D"/>
    <w:rsid w:val="009D2796"/>
    <w:rsid w:val="009D2889"/>
    <w:rsid w:val="009D290A"/>
    <w:rsid w:val="009D3007"/>
    <w:rsid w:val="009D30E5"/>
    <w:rsid w:val="009D3310"/>
    <w:rsid w:val="009D355D"/>
    <w:rsid w:val="009D37F7"/>
    <w:rsid w:val="009D4E47"/>
    <w:rsid w:val="009D547F"/>
    <w:rsid w:val="009D54B6"/>
    <w:rsid w:val="009D55CE"/>
    <w:rsid w:val="009D5B1F"/>
    <w:rsid w:val="009D5B8E"/>
    <w:rsid w:val="009D5BE3"/>
    <w:rsid w:val="009D5E69"/>
    <w:rsid w:val="009D637E"/>
    <w:rsid w:val="009D6A25"/>
    <w:rsid w:val="009D6D0A"/>
    <w:rsid w:val="009D7000"/>
    <w:rsid w:val="009D7109"/>
    <w:rsid w:val="009D74DD"/>
    <w:rsid w:val="009D75C7"/>
    <w:rsid w:val="009D79BF"/>
    <w:rsid w:val="009D7C18"/>
    <w:rsid w:val="009D7D91"/>
    <w:rsid w:val="009E024C"/>
    <w:rsid w:val="009E08EC"/>
    <w:rsid w:val="009E0AEE"/>
    <w:rsid w:val="009E0DDD"/>
    <w:rsid w:val="009E0DE7"/>
    <w:rsid w:val="009E0F85"/>
    <w:rsid w:val="009E0FE1"/>
    <w:rsid w:val="009E1A6C"/>
    <w:rsid w:val="009E1F7A"/>
    <w:rsid w:val="009E2004"/>
    <w:rsid w:val="009E22D1"/>
    <w:rsid w:val="009E23B6"/>
    <w:rsid w:val="009E2503"/>
    <w:rsid w:val="009E251D"/>
    <w:rsid w:val="009E27D2"/>
    <w:rsid w:val="009E27FD"/>
    <w:rsid w:val="009E3271"/>
    <w:rsid w:val="009E3652"/>
    <w:rsid w:val="009E3756"/>
    <w:rsid w:val="009E39AD"/>
    <w:rsid w:val="009E3B93"/>
    <w:rsid w:val="009E44C5"/>
    <w:rsid w:val="009E4B0C"/>
    <w:rsid w:val="009E4DA7"/>
    <w:rsid w:val="009E5217"/>
    <w:rsid w:val="009E58E0"/>
    <w:rsid w:val="009E5DE7"/>
    <w:rsid w:val="009E6630"/>
    <w:rsid w:val="009E66B2"/>
    <w:rsid w:val="009E6862"/>
    <w:rsid w:val="009E687E"/>
    <w:rsid w:val="009E6C8A"/>
    <w:rsid w:val="009E6EED"/>
    <w:rsid w:val="009E724E"/>
    <w:rsid w:val="009E7A26"/>
    <w:rsid w:val="009E7CB7"/>
    <w:rsid w:val="009E7E0F"/>
    <w:rsid w:val="009E7E52"/>
    <w:rsid w:val="009F0183"/>
    <w:rsid w:val="009F01AC"/>
    <w:rsid w:val="009F039E"/>
    <w:rsid w:val="009F0B8C"/>
    <w:rsid w:val="009F1360"/>
    <w:rsid w:val="009F174D"/>
    <w:rsid w:val="009F19AF"/>
    <w:rsid w:val="009F2497"/>
    <w:rsid w:val="009F3223"/>
    <w:rsid w:val="009F3369"/>
    <w:rsid w:val="009F341A"/>
    <w:rsid w:val="009F399B"/>
    <w:rsid w:val="009F3D34"/>
    <w:rsid w:val="009F3E7D"/>
    <w:rsid w:val="009F4673"/>
    <w:rsid w:val="009F47A0"/>
    <w:rsid w:val="009F4A6A"/>
    <w:rsid w:val="009F54AF"/>
    <w:rsid w:val="009F58D8"/>
    <w:rsid w:val="009F5CFC"/>
    <w:rsid w:val="009F6103"/>
    <w:rsid w:val="009F6136"/>
    <w:rsid w:val="009F6347"/>
    <w:rsid w:val="009F6A0F"/>
    <w:rsid w:val="009F73F2"/>
    <w:rsid w:val="009F7D94"/>
    <w:rsid w:val="00A002CC"/>
    <w:rsid w:val="00A00571"/>
    <w:rsid w:val="00A00D06"/>
    <w:rsid w:val="00A00F3A"/>
    <w:rsid w:val="00A010BB"/>
    <w:rsid w:val="00A01187"/>
    <w:rsid w:val="00A01B2B"/>
    <w:rsid w:val="00A02128"/>
    <w:rsid w:val="00A03625"/>
    <w:rsid w:val="00A0376C"/>
    <w:rsid w:val="00A03997"/>
    <w:rsid w:val="00A0406C"/>
    <w:rsid w:val="00A04289"/>
    <w:rsid w:val="00A0485A"/>
    <w:rsid w:val="00A04DCC"/>
    <w:rsid w:val="00A04F65"/>
    <w:rsid w:val="00A05A94"/>
    <w:rsid w:val="00A05D9F"/>
    <w:rsid w:val="00A0685B"/>
    <w:rsid w:val="00A06AC4"/>
    <w:rsid w:val="00A06BFF"/>
    <w:rsid w:val="00A06DE6"/>
    <w:rsid w:val="00A079DD"/>
    <w:rsid w:val="00A104D2"/>
    <w:rsid w:val="00A1055C"/>
    <w:rsid w:val="00A106A2"/>
    <w:rsid w:val="00A10835"/>
    <w:rsid w:val="00A109F0"/>
    <w:rsid w:val="00A10FCD"/>
    <w:rsid w:val="00A110EC"/>
    <w:rsid w:val="00A11400"/>
    <w:rsid w:val="00A11546"/>
    <w:rsid w:val="00A11886"/>
    <w:rsid w:val="00A123B0"/>
    <w:rsid w:val="00A12860"/>
    <w:rsid w:val="00A12BE8"/>
    <w:rsid w:val="00A135F8"/>
    <w:rsid w:val="00A1367F"/>
    <w:rsid w:val="00A138E1"/>
    <w:rsid w:val="00A13901"/>
    <w:rsid w:val="00A13923"/>
    <w:rsid w:val="00A13C62"/>
    <w:rsid w:val="00A13FEB"/>
    <w:rsid w:val="00A1423E"/>
    <w:rsid w:val="00A143A3"/>
    <w:rsid w:val="00A143E8"/>
    <w:rsid w:val="00A14BEF"/>
    <w:rsid w:val="00A14BFB"/>
    <w:rsid w:val="00A14F3E"/>
    <w:rsid w:val="00A1532D"/>
    <w:rsid w:val="00A15887"/>
    <w:rsid w:val="00A1595F"/>
    <w:rsid w:val="00A15AC2"/>
    <w:rsid w:val="00A15AED"/>
    <w:rsid w:val="00A16076"/>
    <w:rsid w:val="00A16180"/>
    <w:rsid w:val="00A165DC"/>
    <w:rsid w:val="00A1673D"/>
    <w:rsid w:val="00A16F2A"/>
    <w:rsid w:val="00A16F34"/>
    <w:rsid w:val="00A178D4"/>
    <w:rsid w:val="00A17991"/>
    <w:rsid w:val="00A17DE8"/>
    <w:rsid w:val="00A201D0"/>
    <w:rsid w:val="00A20231"/>
    <w:rsid w:val="00A203E3"/>
    <w:rsid w:val="00A20564"/>
    <w:rsid w:val="00A20A94"/>
    <w:rsid w:val="00A20A9A"/>
    <w:rsid w:val="00A210CD"/>
    <w:rsid w:val="00A2122D"/>
    <w:rsid w:val="00A2189D"/>
    <w:rsid w:val="00A218B6"/>
    <w:rsid w:val="00A219DB"/>
    <w:rsid w:val="00A223F6"/>
    <w:rsid w:val="00A22F37"/>
    <w:rsid w:val="00A23242"/>
    <w:rsid w:val="00A2337F"/>
    <w:rsid w:val="00A233E7"/>
    <w:rsid w:val="00A2374C"/>
    <w:rsid w:val="00A239A9"/>
    <w:rsid w:val="00A23EC3"/>
    <w:rsid w:val="00A2481A"/>
    <w:rsid w:val="00A25470"/>
    <w:rsid w:val="00A25501"/>
    <w:rsid w:val="00A25C18"/>
    <w:rsid w:val="00A25C1F"/>
    <w:rsid w:val="00A264E0"/>
    <w:rsid w:val="00A269AB"/>
    <w:rsid w:val="00A26D38"/>
    <w:rsid w:val="00A30168"/>
    <w:rsid w:val="00A3046E"/>
    <w:rsid w:val="00A3125B"/>
    <w:rsid w:val="00A318DA"/>
    <w:rsid w:val="00A31A17"/>
    <w:rsid w:val="00A32685"/>
    <w:rsid w:val="00A32B06"/>
    <w:rsid w:val="00A32D2C"/>
    <w:rsid w:val="00A334F1"/>
    <w:rsid w:val="00A33C22"/>
    <w:rsid w:val="00A33F0C"/>
    <w:rsid w:val="00A34922"/>
    <w:rsid w:val="00A34AD7"/>
    <w:rsid w:val="00A34D1B"/>
    <w:rsid w:val="00A351E0"/>
    <w:rsid w:val="00A35453"/>
    <w:rsid w:val="00A355AF"/>
    <w:rsid w:val="00A35AA3"/>
    <w:rsid w:val="00A36465"/>
    <w:rsid w:val="00A36AD8"/>
    <w:rsid w:val="00A36E01"/>
    <w:rsid w:val="00A37EFA"/>
    <w:rsid w:val="00A37EFB"/>
    <w:rsid w:val="00A37FC8"/>
    <w:rsid w:val="00A401BF"/>
    <w:rsid w:val="00A40888"/>
    <w:rsid w:val="00A40E33"/>
    <w:rsid w:val="00A412AD"/>
    <w:rsid w:val="00A420EC"/>
    <w:rsid w:val="00A42469"/>
    <w:rsid w:val="00A42986"/>
    <w:rsid w:val="00A42D15"/>
    <w:rsid w:val="00A42D4F"/>
    <w:rsid w:val="00A432A6"/>
    <w:rsid w:val="00A4357E"/>
    <w:rsid w:val="00A43F8D"/>
    <w:rsid w:val="00A4435D"/>
    <w:rsid w:val="00A445DF"/>
    <w:rsid w:val="00A4524F"/>
    <w:rsid w:val="00A45B2D"/>
    <w:rsid w:val="00A45B73"/>
    <w:rsid w:val="00A45E97"/>
    <w:rsid w:val="00A465D8"/>
    <w:rsid w:val="00A46C16"/>
    <w:rsid w:val="00A46D76"/>
    <w:rsid w:val="00A47356"/>
    <w:rsid w:val="00A47560"/>
    <w:rsid w:val="00A479D1"/>
    <w:rsid w:val="00A47ECE"/>
    <w:rsid w:val="00A505F7"/>
    <w:rsid w:val="00A50612"/>
    <w:rsid w:val="00A50855"/>
    <w:rsid w:val="00A50C71"/>
    <w:rsid w:val="00A51120"/>
    <w:rsid w:val="00A51245"/>
    <w:rsid w:val="00A5126B"/>
    <w:rsid w:val="00A5164A"/>
    <w:rsid w:val="00A5167A"/>
    <w:rsid w:val="00A518BB"/>
    <w:rsid w:val="00A51DFF"/>
    <w:rsid w:val="00A51ED8"/>
    <w:rsid w:val="00A52138"/>
    <w:rsid w:val="00A52309"/>
    <w:rsid w:val="00A526C3"/>
    <w:rsid w:val="00A529BC"/>
    <w:rsid w:val="00A52F98"/>
    <w:rsid w:val="00A531F6"/>
    <w:rsid w:val="00A539A5"/>
    <w:rsid w:val="00A5433E"/>
    <w:rsid w:val="00A5439D"/>
    <w:rsid w:val="00A54405"/>
    <w:rsid w:val="00A54751"/>
    <w:rsid w:val="00A54E72"/>
    <w:rsid w:val="00A557C7"/>
    <w:rsid w:val="00A5594F"/>
    <w:rsid w:val="00A55955"/>
    <w:rsid w:val="00A55C43"/>
    <w:rsid w:val="00A55C75"/>
    <w:rsid w:val="00A55D54"/>
    <w:rsid w:val="00A566DF"/>
    <w:rsid w:val="00A566E5"/>
    <w:rsid w:val="00A567F5"/>
    <w:rsid w:val="00A568F3"/>
    <w:rsid w:val="00A56C4A"/>
    <w:rsid w:val="00A56F02"/>
    <w:rsid w:val="00A57200"/>
    <w:rsid w:val="00A574F8"/>
    <w:rsid w:val="00A57576"/>
    <w:rsid w:val="00A575D1"/>
    <w:rsid w:val="00A57696"/>
    <w:rsid w:val="00A57EE6"/>
    <w:rsid w:val="00A601B4"/>
    <w:rsid w:val="00A60570"/>
    <w:rsid w:val="00A60A10"/>
    <w:rsid w:val="00A60F7B"/>
    <w:rsid w:val="00A612E3"/>
    <w:rsid w:val="00A61582"/>
    <w:rsid w:val="00A617ED"/>
    <w:rsid w:val="00A6255F"/>
    <w:rsid w:val="00A626F0"/>
    <w:rsid w:val="00A62A83"/>
    <w:rsid w:val="00A62BDC"/>
    <w:rsid w:val="00A62CDA"/>
    <w:rsid w:val="00A62D24"/>
    <w:rsid w:val="00A62F77"/>
    <w:rsid w:val="00A632A3"/>
    <w:rsid w:val="00A63438"/>
    <w:rsid w:val="00A636B1"/>
    <w:rsid w:val="00A637A1"/>
    <w:rsid w:val="00A638C1"/>
    <w:rsid w:val="00A63C4C"/>
    <w:rsid w:val="00A63F27"/>
    <w:rsid w:val="00A63FB9"/>
    <w:rsid w:val="00A6400E"/>
    <w:rsid w:val="00A641AE"/>
    <w:rsid w:val="00A64224"/>
    <w:rsid w:val="00A64534"/>
    <w:rsid w:val="00A6475F"/>
    <w:rsid w:val="00A64818"/>
    <w:rsid w:val="00A64866"/>
    <w:rsid w:val="00A64F7B"/>
    <w:rsid w:val="00A650A4"/>
    <w:rsid w:val="00A653F6"/>
    <w:rsid w:val="00A654B3"/>
    <w:rsid w:val="00A6575E"/>
    <w:rsid w:val="00A65B8A"/>
    <w:rsid w:val="00A6618D"/>
    <w:rsid w:val="00A66296"/>
    <w:rsid w:val="00A665B6"/>
    <w:rsid w:val="00A66F41"/>
    <w:rsid w:val="00A67012"/>
    <w:rsid w:val="00A6726D"/>
    <w:rsid w:val="00A6731F"/>
    <w:rsid w:val="00A67998"/>
    <w:rsid w:val="00A67A2F"/>
    <w:rsid w:val="00A67AEA"/>
    <w:rsid w:val="00A70AD5"/>
    <w:rsid w:val="00A70B00"/>
    <w:rsid w:val="00A713C9"/>
    <w:rsid w:val="00A714A5"/>
    <w:rsid w:val="00A7158D"/>
    <w:rsid w:val="00A716BA"/>
    <w:rsid w:val="00A71836"/>
    <w:rsid w:val="00A720DB"/>
    <w:rsid w:val="00A727FE"/>
    <w:rsid w:val="00A7286D"/>
    <w:rsid w:val="00A72A3A"/>
    <w:rsid w:val="00A7361A"/>
    <w:rsid w:val="00A73A02"/>
    <w:rsid w:val="00A73E24"/>
    <w:rsid w:val="00A7415D"/>
    <w:rsid w:val="00A74E59"/>
    <w:rsid w:val="00A7501A"/>
    <w:rsid w:val="00A75155"/>
    <w:rsid w:val="00A756F6"/>
    <w:rsid w:val="00A757CE"/>
    <w:rsid w:val="00A7582A"/>
    <w:rsid w:val="00A75DDA"/>
    <w:rsid w:val="00A7638C"/>
    <w:rsid w:val="00A764FA"/>
    <w:rsid w:val="00A767EE"/>
    <w:rsid w:val="00A769D1"/>
    <w:rsid w:val="00A76B27"/>
    <w:rsid w:val="00A76B70"/>
    <w:rsid w:val="00A775B0"/>
    <w:rsid w:val="00A77CFF"/>
    <w:rsid w:val="00A80256"/>
    <w:rsid w:val="00A80475"/>
    <w:rsid w:val="00A80A11"/>
    <w:rsid w:val="00A811B6"/>
    <w:rsid w:val="00A816A5"/>
    <w:rsid w:val="00A817E1"/>
    <w:rsid w:val="00A8185B"/>
    <w:rsid w:val="00A81B9D"/>
    <w:rsid w:val="00A81C32"/>
    <w:rsid w:val="00A8223C"/>
    <w:rsid w:val="00A8242C"/>
    <w:rsid w:val="00A8286E"/>
    <w:rsid w:val="00A82B39"/>
    <w:rsid w:val="00A82C15"/>
    <w:rsid w:val="00A82D2E"/>
    <w:rsid w:val="00A834A2"/>
    <w:rsid w:val="00A835A5"/>
    <w:rsid w:val="00A8399E"/>
    <w:rsid w:val="00A83E80"/>
    <w:rsid w:val="00A841FC"/>
    <w:rsid w:val="00A84731"/>
    <w:rsid w:val="00A848EE"/>
    <w:rsid w:val="00A84F9C"/>
    <w:rsid w:val="00A854E4"/>
    <w:rsid w:val="00A857A4"/>
    <w:rsid w:val="00A857D4"/>
    <w:rsid w:val="00A85A9F"/>
    <w:rsid w:val="00A85B19"/>
    <w:rsid w:val="00A85B3B"/>
    <w:rsid w:val="00A85CDE"/>
    <w:rsid w:val="00A85F50"/>
    <w:rsid w:val="00A8618C"/>
    <w:rsid w:val="00A869CD"/>
    <w:rsid w:val="00A869D9"/>
    <w:rsid w:val="00A86D4E"/>
    <w:rsid w:val="00A86D94"/>
    <w:rsid w:val="00A8702B"/>
    <w:rsid w:val="00A870BF"/>
    <w:rsid w:val="00A871A2"/>
    <w:rsid w:val="00A872ED"/>
    <w:rsid w:val="00A87829"/>
    <w:rsid w:val="00A87901"/>
    <w:rsid w:val="00A9039C"/>
    <w:rsid w:val="00A9095C"/>
    <w:rsid w:val="00A910DB"/>
    <w:rsid w:val="00A9112A"/>
    <w:rsid w:val="00A91134"/>
    <w:rsid w:val="00A916AD"/>
    <w:rsid w:val="00A91775"/>
    <w:rsid w:val="00A917B0"/>
    <w:rsid w:val="00A91F12"/>
    <w:rsid w:val="00A91FE2"/>
    <w:rsid w:val="00A9221E"/>
    <w:rsid w:val="00A929D9"/>
    <w:rsid w:val="00A929F9"/>
    <w:rsid w:val="00A92ABB"/>
    <w:rsid w:val="00A92B87"/>
    <w:rsid w:val="00A937E9"/>
    <w:rsid w:val="00A93A6A"/>
    <w:rsid w:val="00A93D83"/>
    <w:rsid w:val="00A94576"/>
    <w:rsid w:val="00A948CE"/>
    <w:rsid w:val="00A94934"/>
    <w:rsid w:val="00A94C7A"/>
    <w:rsid w:val="00A9580C"/>
    <w:rsid w:val="00A958C7"/>
    <w:rsid w:val="00A958EA"/>
    <w:rsid w:val="00A95CE3"/>
    <w:rsid w:val="00A966E6"/>
    <w:rsid w:val="00A966F8"/>
    <w:rsid w:val="00A96A44"/>
    <w:rsid w:val="00A96C7C"/>
    <w:rsid w:val="00A96F37"/>
    <w:rsid w:val="00A97936"/>
    <w:rsid w:val="00A97A90"/>
    <w:rsid w:val="00A97A99"/>
    <w:rsid w:val="00AA05D1"/>
    <w:rsid w:val="00AA06D5"/>
    <w:rsid w:val="00AA0B7D"/>
    <w:rsid w:val="00AA0CCE"/>
    <w:rsid w:val="00AA0E27"/>
    <w:rsid w:val="00AA1194"/>
    <w:rsid w:val="00AA13C2"/>
    <w:rsid w:val="00AA13D5"/>
    <w:rsid w:val="00AA1CDA"/>
    <w:rsid w:val="00AA2540"/>
    <w:rsid w:val="00AA29F7"/>
    <w:rsid w:val="00AA2ADB"/>
    <w:rsid w:val="00AA2C4D"/>
    <w:rsid w:val="00AA30F9"/>
    <w:rsid w:val="00AA31C8"/>
    <w:rsid w:val="00AA33A6"/>
    <w:rsid w:val="00AA33A9"/>
    <w:rsid w:val="00AA36FB"/>
    <w:rsid w:val="00AA3BCE"/>
    <w:rsid w:val="00AA4063"/>
    <w:rsid w:val="00AA4154"/>
    <w:rsid w:val="00AA422E"/>
    <w:rsid w:val="00AA437F"/>
    <w:rsid w:val="00AA450B"/>
    <w:rsid w:val="00AA4945"/>
    <w:rsid w:val="00AA4A83"/>
    <w:rsid w:val="00AA4B62"/>
    <w:rsid w:val="00AA4ED1"/>
    <w:rsid w:val="00AA5BBC"/>
    <w:rsid w:val="00AA5F9F"/>
    <w:rsid w:val="00AA6A48"/>
    <w:rsid w:val="00AA6AC8"/>
    <w:rsid w:val="00AA6ACB"/>
    <w:rsid w:val="00AA7AA7"/>
    <w:rsid w:val="00AA7DC4"/>
    <w:rsid w:val="00AA7E1A"/>
    <w:rsid w:val="00AB025F"/>
    <w:rsid w:val="00AB0289"/>
    <w:rsid w:val="00AB0316"/>
    <w:rsid w:val="00AB05EF"/>
    <w:rsid w:val="00AB088D"/>
    <w:rsid w:val="00AB0CD0"/>
    <w:rsid w:val="00AB1011"/>
    <w:rsid w:val="00AB1366"/>
    <w:rsid w:val="00AB1DBC"/>
    <w:rsid w:val="00AB2205"/>
    <w:rsid w:val="00AB2593"/>
    <w:rsid w:val="00AB25BC"/>
    <w:rsid w:val="00AB2969"/>
    <w:rsid w:val="00AB2F3D"/>
    <w:rsid w:val="00AB33DD"/>
    <w:rsid w:val="00AB394D"/>
    <w:rsid w:val="00AB3E68"/>
    <w:rsid w:val="00AB413B"/>
    <w:rsid w:val="00AB41AE"/>
    <w:rsid w:val="00AB4268"/>
    <w:rsid w:val="00AB439A"/>
    <w:rsid w:val="00AB4FB6"/>
    <w:rsid w:val="00AB505D"/>
    <w:rsid w:val="00AB50FB"/>
    <w:rsid w:val="00AB5BFE"/>
    <w:rsid w:val="00AB6042"/>
    <w:rsid w:val="00AB60DB"/>
    <w:rsid w:val="00AB6119"/>
    <w:rsid w:val="00AB662A"/>
    <w:rsid w:val="00AB6631"/>
    <w:rsid w:val="00AB680D"/>
    <w:rsid w:val="00AB698A"/>
    <w:rsid w:val="00AB6A49"/>
    <w:rsid w:val="00AB6C87"/>
    <w:rsid w:val="00AB6EBE"/>
    <w:rsid w:val="00AB6FD9"/>
    <w:rsid w:val="00AB727D"/>
    <w:rsid w:val="00AB74D7"/>
    <w:rsid w:val="00AB758C"/>
    <w:rsid w:val="00AB759A"/>
    <w:rsid w:val="00AB7628"/>
    <w:rsid w:val="00AB7A1C"/>
    <w:rsid w:val="00AB7B4B"/>
    <w:rsid w:val="00AB7E1C"/>
    <w:rsid w:val="00AC0448"/>
    <w:rsid w:val="00AC0687"/>
    <w:rsid w:val="00AC076C"/>
    <w:rsid w:val="00AC08E5"/>
    <w:rsid w:val="00AC0993"/>
    <w:rsid w:val="00AC0B17"/>
    <w:rsid w:val="00AC0CFA"/>
    <w:rsid w:val="00AC0F08"/>
    <w:rsid w:val="00AC108B"/>
    <w:rsid w:val="00AC124C"/>
    <w:rsid w:val="00AC13E4"/>
    <w:rsid w:val="00AC1EAB"/>
    <w:rsid w:val="00AC23EF"/>
    <w:rsid w:val="00AC2694"/>
    <w:rsid w:val="00AC2840"/>
    <w:rsid w:val="00AC29D5"/>
    <w:rsid w:val="00AC2BAD"/>
    <w:rsid w:val="00AC3242"/>
    <w:rsid w:val="00AC3538"/>
    <w:rsid w:val="00AC35F3"/>
    <w:rsid w:val="00AC378E"/>
    <w:rsid w:val="00AC39F8"/>
    <w:rsid w:val="00AC3A2C"/>
    <w:rsid w:val="00AC3ACB"/>
    <w:rsid w:val="00AC3E11"/>
    <w:rsid w:val="00AC481E"/>
    <w:rsid w:val="00AC496B"/>
    <w:rsid w:val="00AC4B3B"/>
    <w:rsid w:val="00AC4BE9"/>
    <w:rsid w:val="00AC5038"/>
    <w:rsid w:val="00AC50D7"/>
    <w:rsid w:val="00AC5116"/>
    <w:rsid w:val="00AC58F7"/>
    <w:rsid w:val="00AC597D"/>
    <w:rsid w:val="00AC62F2"/>
    <w:rsid w:val="00AC68A6"/>
    <w:rsid w:val="00AC6904"/>
    <w:rsid w:val="00AC6F4C"/>
    <w:rsid w:val="00AC70C5"/>
    <w:rsid w:val="00AD0853"/>
    <w:rsid w:val="00AD0CAF"/>
    <w:rsid w:val="00AD0EAD"/>
    <w:rsid w:val="00AD0FC4"/>
    <w:rsid w:val="00AD14B9"/>
    <w:rsid w:val="00AD1BA8"/>
    <w:rsid w:val="00AD1EA5"/>
    <w:rsid w:val="00AD1EAC"/>
    <w:rsid w:val="00AD2C6B"/>
    <w:rsid w:val="00AD35E2"/>
    <w:rsid w:val="00AD3992"/>
    <w:rsid w:val="00AD3ACD"/>
    <w:rsid w:val="00AD3DAD"/>
    <w:rsid w:val="00AD4061"/>
    <w:rsid w:val="00AD4250"/>
    <w:rsid w:val="00AD456C"/>
    <w:rsid w:val="00AD468C"/>
    <w:rsid w:val="00AD4A6C"/>
    <w:rsid w:val="00AD4B2C"/>
    <w:rsid w:val="00AD4BF0"/>
    <w:rsid w:val="00AD4C4B"/>
    <w:rsid w:val="00AD4F20"/>
    <w:rsid w:val="00AD56EA"/>
    <w:rsid w:val="00AD57BB"/>
    <w:rsid w:val="00AD58BE"/>
    <w:rsid w:val="00AD5A9B"/>
    <w:rsid w:val="00AD6735"/>
    <w:rsid w:val="00AD681B"/>
    <w:rsid w:val="00AD697F"/>
    <w:rsid w:val="00AD7190"/>
    <w:rsid w:val="00AD7397"/>
    <w:rsid w:val="00AD7B56"/>
    <w:rsid w:val="00AD7E55"/>
    <w:rsid w:val="00AE0086"/>
    <w:rsid w:val="00AE00C7"/>
    <w:rsid w:val="00AE0370"/>
    <w:rsid w:val="00AE082B"/>
    <w:rsid w:val="00AE0EC8"/>
    <w:rsid w:val="00AE12A2"/>
    <w:rsid w:val="00AE1876"/>
    <w:rsid w:val="00AE18AF"/>
    <w:rsid w:val="00AE1C89"/>
    <w:rsid w:val="00AE29B6"/>
    <w:rsid w:val="00AE2D2A"/>
    <w:rsid w:val="00AE316B"/>
    <w:rsid w:val="00AE358B"/>
    <w:rsid w:val="00AE3DF3"/>
    <w:rsid w:val="00AE44FE"/>
    <w:rsid w:val="00AE47A4"/>
    <w:rsid w:val="00AE4B84"/>
    <w:rsid w:val="00AE4D6F"/>
    <w:rsid w:val="00AE507F"/>
    <w:rsid w:val="00AE517B"/>
    <w:rsid w:val="00AE523D"/>
    <w:rsid w:val="00AE52E1"/>
    <w:rsid w:val="00AE5418"/>
    <w:rsid w:val="00AE54B8"/>
    <w:rsid w:val="00AE592D"/>
    <w:rsid w:val="00AE5E61"/>
    <w:rsid w:val="00AE5EDC"/>
    <w:rsid w:val="00AE614C"/>
    <w:rsid w:val="00AE6454"/>
    <w:rsid w:val="00AE6821"/>
    <w:rsid w:val="00AE706A"/>
    <w:rsid w:val="00AE74A6"/>
    <w:rsid w:val="00AE79E1"/>
    <w:rsid w:val="00AF0017"/>
    <w:rsid w:val="00AF0492"/>
    <w:rsid w:val="00AF0686"/>
    <w:rsid w:val="00AF09E4"/>
    <w:rsid w:val="00AF1568"/>
    <w:rsid w:val="00AF1782"/>
    <w:rsid w:val="00AF1EA8"/>
    <w:rsid w:val="00AF2044"/>
    <w:rsid w:val="00AF2782"/>
    <w:rsid w:val="00AF2D3A"/>
    <w:rsid w:val="00AF354F"/>
    <w:rsid w:val="00AF395C"/>
    <w:rsid w:val="00AF491A"/>
    <w:rsid w:val="00AF4A0C"/>
    <w:rsid w:val="00AF4CF1"/>
    <w:rsid w:val="00AF5045"/>
    <w:rsid w:val="00AF50C0"/>
    <w:rsid w:val="00AF51CE"/>
    <w:rsid w:val="00AF5551"/>
    <w:rsid w:val="00AF56E6"/>
    <w:rsid w:val="00AF5965"/>
    <w:rsid w:val="00AF5DAF"/>
    <w:rsid w:val="00AF5DB1"/>
    <w:rsid w:val="00AF5FCA"/>
    <w:rsid w:val="00AF62FA"/>
    <w:rsid w:val="00AF6435"/>
    <w:rsid w:val="00AF6493"/>
    <w:rsid w:val="00AF6590"/>
    <w:rsid w:val="00AF6B97"/>
    <w:rsid w:val="00AF6C1A"/>
    <w:rsid w:val="00AF6EEB"/>
    <w:rsid w:val="00AF6FDA"/>
    <w:rsid w:val="00AF71E3"/>
    <w:rsid w:val="00AF752D"/>
    <w:rsid w:val="00AF7841"/>
    <w:rsid w:val="00AF787B"/>
    <w:rsid w:val="00AF7902"/>
    <w:rsid w:val="00AF79E3"/>
    <w:rsid w:val="00AF7E4F"/>
    <w:rsid w:val="00AF7F89"/>
    <w:rsid w:val="00B00014"/>
    <w:rsid w:val="00B00A65"/>
    <w:rsid w:val="00B00B15"/>
    <w:rsid w:val="00B01BC9"/>
    <w:rsid w:val="00B01D2C"/>
    <w:rsid w:val="00B01E31"/>
    <w:rsid w:val="00B02143"/>
    <w:rsid w:val="00B0274A"/>
    <w:rsid w:val="00B027B3"/>
    <w:rsid w:val="00B02971"/>
    <w:rsid w:val="00B02D5B"/>
    <w:rsid w:val="00B02EA3"/>
    <w:rsid w:val="00B03027"/>
    <w:rsid w:val="00B03174"/>
    <w:rsid w:val="00B034F1"/>
    <w:rsid w:val="00B03A1D"/>
    <w:rsid w:val="00B03ADA"/>
    <w:rsid w:val="00B03AF8"/>
    <w:rsid w:val="00B04266"/>
    <w:rsid w:val="00B043F1"/>
    <w:rsid w:val="00B04658"/>
    <w:rsid w:val="00B0520E"/>
    <w:rsid w:val="00B05B1C"/>
    <w:rsid w:val="00B05ECC"/>
    <w:rsid w:val="00B06432"/>
    <w:rsid w:val="00B06570"/>
    <w:rsid w:val="00B065B6"/>
    <w:rsid w:val="00B066A9"/>
    <w:rsid w:val="00B06B64"/>
    <w:rsid w:val="00B073DB"/>
    <w:rsid w:val="00B075ED"/>
    <w:rsid w:val="00B07BEE"/>
    <w:rsid w:val="00B07C36"/>
    <w:rsid w:val="00B07E50"/>
    <w:rsid w:val="00B100C0"/>
    <w:rsid w:val="00B1061D"/>
    <w:rsid w:val="00B107A3"/>
    <w:rsid w:val="00B10B4F"/>
    <w:rsid w:val="00B11975"/>
    <w:rsid w:val="00B11BF7"/>
    <w:rsid w:val="00B11CC9"/>
    <w:rsid w:val="00B11DF5"/>
    <w:rsid w:val="00B11EFB"/>
    <w:rsid w:val="00B11FB9"/>
    <w:rsid w:val="00B12051"/>
    <w:rsid w:val="00B1262F"/>
    <w:rsid w:val="00B12732"/>
    <w:rsid w:val="00B12735"/>
    <w:rsid w:val="00B1310D"/>
    <w:rsid w:val="00B135FE"/>
    <w:rsid w:val="00B13E6C"/>
    <w:rsid w:val="00B14012"/>
    <w:rsid w:val="00B140E6"/>
    <w:rsid w:val="00B141B8"/>
    <w:rsid w:val="00B14F13"/>
    <w:rsid w:val="00B15111"/>
    <w:rsid w:val="00B151D0"/>
    <w:rsid w:val="00B152F6"/>
    <w:rsid w:val="00B15914"/>
    <w:rsid w:val="00B15B06"/>
    <w:rsid w:val="00B15BF3"/>
    <w:rsid w:val="00B15C40"/>
    <w:rsid w:val="00B15CC9"/>
    <w:rsid w:val="00B15E4A"/>
    <w:rsid w:val="00B1616E"/>
    <w:rsid w:val="00B163F1"/>
    <w:rsid w:val="00B166F7"/>
    <w:rsid w:val="00B167BA"/>
    <w:rsid w:val="00B171A4"/>
    <w:rsid w:val="00B1724B"/>
    <w:rsid w:val="00B17568"/>
    <w:rsid w:val="00B178EF"/>
    <w:rsid w:val="00B17C54"/>
    <w:rsid w:val="00B17E5A"/>
    <w:rsid w:val="00B20167"/>
    <w:rsid w:val="00B20D1C"/>
    <w:rsid w:val="00B21436"/>
    <w:rsid w:val="00B2158C"/>
    <w:rsid w:val="00B21616"/>
    <w:rsid w:val="00B216D1"/>
    <w:rsid w:val="00B21DD9"/>
    <w:rsid w:val="00B22425"/>
    <w:rsid w:val="00B2248C"/>
    <w:rsid w:val="00B22578"/>
    <w:rsid w:val="00B23190"/>
    <w:rsid w:val="00B23DEA"/>
    <w:rsid w:val="00B23F01"/>
    <w:rsid w:val="00B24741"/>
    <w:rsid w:val="00B24834"/>
    <w:rsid w:val="00B24AAB"/>
    <w:rsid w:val="00B254C1"/>
    <w:rsid w:val="00B25766"/>
    <w:rsid w:val="00B25804"/>
    <w:rsid w:val="00B2607A"/>
    <w:rsid w:val="00B268BB"/>
    <w:rsid w:val="00B2693B"/>
    <w:rsid w:val="00B26946"/>
    <w:rsid w:val="00B26F31"/>
    <w:rsid w:val="00B27112"/>
    <w:rsid w:val="00B27A9C"/>
    <w:rsid w:val="00B3025D"/>
    <w:rsid w:val="00B303FE"/>
    <w:rsid w:val="00B30BC6"/>
    <w:rsid w:val="00B30F87"/>
    <w:rsid w:val="00B31A2C"/>
    <w:rsid w:val="00B31CA4"/>
    <w:rsid w:val="00B3203C"/>
    <w:rsid w:val="00B326E7"/>
    <w:rsid w:val="00B326EE"/>
    <w:rsid w:val="00B3296C"/>
    <w:rsid w:val="00B32979"/>
    <w:rsid w:val="00B32B1D"/>
    <w:rsid w:val="00B32C8C"/>
    <w:rsid w:val="00B33417"/>
    <w:rsid w:val="00B334E9"/>
    <w:rsid w:val="00B33B7C"/>
    <w:rsid w:val="00B33C21"/>
    <w:rsid w:val="00B33E7E"/>
    <w:rsid w:val="00B34893"/>
    <w:rsid w:val="00B34C3A"/>
    <w:rsid w:val="00B34E91"/>
    <w:rsid w:val="00B354F4"/>
    <w:rsid w:val="00B35795"/>
    <w:rsid w:val="00B3621E"/>
    <w:rsid w:val="00B36275"/>
    <w:rsid w:val="00B362CA"/>
    <w:rsid w:val="00B3675E"/>
    <w:rsid w:val="00B369E0"/>
    <w:rsid w:val="00B36CA2"/>
    <w:rsid w:val="00B37278"/>
    <w:rsid w:val="00B40060"/>
    <w:rsid w:val="00B4061D"/>
    <w:rsid w:val="00B407B5"/>
    <w:rsid w:val="00B40A9A"/>
    <w:rsid w:val="00B40C38"/>
    <w:rsid w:val="00B41034"/>
    <w:rsid w:val="00B41362"/>
    <w:rsid w:val="00B413ED"/>
    <w:rsid w:val="00B41826"/>
    <w:rsid w:val="00B41D50"/>
    <w:rsid w:val="00B420CA"/>
    <w:rsid w:val="00B424C5"/>
    <w:rsid w:val="00B4250F"/>
    <w:rsid w:val="00B425FD"/>
    <w:rsid w:val="00B4291A"/>
    <w:rsid w:val="00B43C69"/>
    <w:rsid w:val="00B43E8F"/>
    <w:rsid w:val="00B43F3A"/>
    <w:rsid w:val="00B43FA3"/>
    <w:rsid w:val="00B43FDF"/>
    <w:rsid w:val="00B44168"/>
    <w:rsid w:val="00B442E1"/>
    <w:rsid w:val="00B444BD"/>
    <w:rsid w:val="00B44554"/>
    <w:rsid w:val="00B4471B"/>
    <w:rsid w:val="00B45469"/>
    <w:rsid w:val="00B458EB"/>
    <w:rsid w:val="00B45B1A"/>
    <w:rsid w:val="00B45C9F"/>
    <w:rsid w:val="00B45F8F"/>
    <w:rsid w:val="00B461B6"/>
    <w:rsid w:val="00B462CB"/>
    <w:rsid w:val="00B465E0"/>
    <w:rsid w:val="00B46D40"/>
    <w:rsid w:val="00B46D84"/>
    <w:rsid w:val="00B475C7"/>
    <w:rsid w:val="00B476C6"/>
    <w:rsid w:val="00B477A7"/>
    <w:rsid w:val="00B477D3"/>
    <w:rsid w:val="00B4791E"/>
    <w:rsid w:val="00B479A1"/>
    <w:rsid w:val="00B47A5A"/>
    <w:rsid w:val="00B47B95"/>
    <w:rsid w:val="00B47EAA"/>
    <w:rsid w:val="00B47F7A"/>
    <w:rsid w:val="00B47FF5"/>
    <w:rsid w:val="00B50400"/>
    <w:rsid w:val="00B50EE5"/>
    <w:rsid w:val="00B519D8"/>
    <w:rsid w:val="00B51B7F"/>
    <w:rsid w:val="00B51D50"/>
    <w:rsid w:val="00B51E3B"/>
    <w:rsid w:val="00B522BB"/>
    <w:rsid w:val="00B524E2"/>
    <w:rsid w:val="00B5256E"/>
    <w:rsid w:val="00B52F5B"/>
    <w:rsid w:val="00B53B6B"/>
    <w:rsid w:val="00B54571"/>
    <w:rsid w:val="00B5490E"/>
    <w:rsid w:val="00B54D30"/>
    <w:rsid w:val="00B55113"/>
    <w:rsid w:val="00B552E9"/>
    <w:rsid w:val="00B57098"/>
    <w:rsid w:val="00B572D8"/>
    <w:rsid w:val="00B579AB"/>
    <w:rsid w:val="00B57C03"/>
    <w:rsid w:val="00B57D09"/>
    <w:rsid w:val="00B60BAC"/>
    <w:rsid w:val="00B61045"/>
    <w:rsid w:val="00B61249"/>
    <w:rsid w:val="00B61425"/>
    <w:rsid w:val="00B616FC"/>
    <w:rsid w:val="00B61904"/>
    <w:rsid w:val="00B61B8C"/>
    <w:rsid w:val="00B62420"/>
    <w:rsid w:val="00B629F3"/>
    <w:rsid w:val="00B63237"/>
    <w:rsid w:val="00B63413"/>
    <w:rsid w:val="00B63F0F"/>
    <w:rsid w:val="00B64087"/>
    <w:rsid w:val="00B650F1"/>
    <w:rsid w:val="00B65419"/>
    <w:rsid w:val="00B65C14"/>
    <w:rsid w:val="00B65E98"/>
    <w:rsid w:val="00B65EBD"/>
    <w:rsid w:val="00B66216"/>
    <w:rsid w:val="00B662A0"/>
    <w:rsid w:val="00B6639C"/>
    <w:rsid w:val="00B6666F"/>
    <w:rsid w:val="00B6669C"/>
    <w:rsid w:val="00B66B70"/>
    <w:rsid w:val="00B66F69"/>
    <w:rsid w:val="00B6753F"/>
    <w:rsid w:val="00B67906"/>
    <w:rsid w:val="00B6795B"/>
    <w:rsid w:val="00B67C36"/>
    <w:rsid w:val="00B67F32"/>
    <w:rsid w:val="00B67FB0"/>
    <w:rsid w:val="00B701E3"/>
    <w:rsid w:val="00B70B58"/>
    <w:rsid w:val="00B711D5"/>
    <w:rsid w:val="00B713C5"/>
    <w:rsid w:val="00B718E9"/>
    <w:rsid w:val="00B71F61"/>
    <w:rsid w:val="00B72A22"/>
    <w:rsid w:val="00B72D9B"/>
    <w:rsid w:val="00B72F81"/>
    <w:rsid w:val="00B73174"/>
    <w:rsid w:val="00B73718"/>
    <w:rsid w:val="00B73CB7"/>
    <w:rsid w:val="00B73CCB"/>
    <w:rsid w:val="00B7409D"/>
    <w:rsid w:val="00B74484"/>
    <w:rsid w:val="00B74555"/>
    <w:rsid w:val="00B75074"/>
    <w:rsid w:val="00B7507E"/>
    <w:rsid w:val="00B753DC"/>
    <w:rsid w:val="00B75424"/>
    <w:rsid w:val="00B75C99"/>
    <w:rsid w:val="00B75D55"/>
    <w:rsid w:val="00B764B1"/>
    <w:rsid w:val="00B76588"/>
    <w:rsid w:val="00B767DB"/>
    <w:rsid w:val="00B80265"/>
    <w:rsid w:val="00B80530"/>
    <w:rsid w:val="00B807D6"/>
    <w:rsid w:val="00B80930"/>
    <w:rsid w:val="00B80DBA"/>
    <w:rsid w:val="00B80F7B"/>
    <w:rsid w:val="00B81AA0"/>
    <w:rsid w:val="00B81B8F"/>
    <w:rsid w:val="00B81CC8"/>
    <w:rsid w:val="00B81E32"/>
    <w:rsid w:val="00B81F06"/>
    <w:rsid w:val="00B82968"/>
    <w:rsid w:val="00B829B9"/>
    <w:rsid w:val="00B82A05"/>
    <w:rsid w:val="00B82BA1"/>
    <w:rsid w:val="00B82C62"/>
    <w:rsid w:val="00B82F9D"/>
    <w:rsid w:val="00B8308D"/>
    <w:rsid w:val="00B835A7"/>
    <w:rsid w:val="00B83BC0"/>
    <w:rsid w:val="00B83FDE"/>
    <w:rsid w:val="00B85306"/>
    <w:rsid w:val="00B85D98"/>
    <w:rsid w:val="00B860BC"/>
    <w:rsid w:val="00B861EB"/>
    <w:rsid w:val="00B8674E"/>
    <w:rsid w:val="00B8675F"/>
    <w:rsid w:val="00B86AA2"/>
    <w:rsid w:val="00B86AAC"/>
    <w:rsid w:val="00B86B54"/>
    <w:rsid w:val="00B87027"/>
    <w:rsid w:val="00B87203"/>
    <w:rsid w:val="00B8721E"/>
    <w:rsid w:val="00B9092C"/>
    <w:rsid w:val="00B90A64"/>
    <w:rsid w:val="00B90EF4"/>
    <w:rsid w:val="00B91A4C"/>
    <w:rsid w:val="00B91A8F"/>
    <w:rsid w:val="00B9205B"/>
    <w:rsid w:val="00B92090"/>
    <w:rsid w:val="00B9210A"/>
    <w:rsid w:val="00B9254A"/>
    <w:rsid w:val="00B92C88"/>
    <w:rsid w:val="00B92CD0"/>
    <w:rsid w:val="00B92EFE"/>
    <w:rsid w:val="00B92F06"/>
    <w:rsid w:val="00B935F7"/>
    <w:rsid w:val="00B93897"/>
    <w:rsid w:val="00B93B53"/>
    <w:rsid w:val="00B93D61"/>
    <w:rsid w:val="00B9437A"/>
    <w:rsid w:val="00B946F3"/>
    <w:rsid w:val="00B94902"/>
    <w:rsid w:val="00B94B50"/>
    <w:rsid w:val="00B94E8C"/>
    <w:rsid w:val="00B94F60"/>
    <w:rsid w:val="00B957FB"/>
    <w:rsid w:val="00B95853"/>
    <w:rsid w:val="00B95AA6"/>
    <w:rsid w:val="00B95C3A"/>
    <w:rsid w:val="00B95FAF"/>
    <w:rsid w:val="00B963D9"/>
    <w:rsid w:val="00B966D0"/>
    <w:rsid w:val="00B9692F"/>
    <w:rsid w:val="00B9697F"/>
    <w:rsid w:val="00B96BAC"/>
    <w:rsid w:val="00B96D81"/>
    <w:rsid w:val="00B96DF6"/>
    <w:rsid w:val="00B96F5C"/>
    <w:rsid w:val="00B96F7B"/>
    <w:rsid w:val="00B96F8B"/>
    <w:rsid w:val="00B97385"/>
    <w:rsid w:val="00B97783"/>
    <w:rsid w:val="00B97809"/>
    <w:rsid w:val="00BA0076"/>
    <w:rsid w:val="00BA010B"/>
    <w:rsid w:val="00BA0259"/>
    <w:rsid w:val="00BA0A30"/>
    <w:rsid w:val="00BA0A90"/>
    <w:rsid w:val="00BA174A"/>
    <w:rsid w:val="00BA1850"/>
    <w:rsid w:val="00BA1F4D"/>
    <w:rsid w:val="00BA2F98"/>
    <w:rsid w:val="00BA2FD6"/>
    <w:rsid w:val="00BA325D"/>
    <w:rsid w:val="00BA3CEB"/>
    <w:rsid w:val="00BA3DB9"/>
    <w:rsid w:val="00BA4272"/>
    <w:rsid w:val="00BA49EF"/>
    <w:rsid w:val="00BA4D24"/>
    <w:rsid w:val="00BA4E22"/>
    <w:rsid w:val="00BA5224"/>
    <w:rsid w:val="00BA5280"/>
    <w:rsid w:val="00BA55D9"/>
    <w:rsid w:val="00BA5698"/>
    <w:rsid w:val="00BA59E5"/>
    <w:rsid w:val="00BA5E1B"/>
    <w:rsid w:val="00BA5EE6"/>
    <w:rsid w:val="00BA5F44"/>
    <w:rsid w:val="00BA6471"/>
    <w:rsid w:val="00BA647E"/>
    <w:rsid w:val="00BA6676"/>
    <w:rsid w:val="00BA672A"/>
    <w:rsid w:val="00BA6789"/>
    <w:rsid w:val="00BA70FD"/>
    <w:rsid w:val="00BA7504"/>
    <w:rsid w:val="00BA7796"/>
    <w:rsid w:val="00BA7853"/>
    <w:rsid w:val="00BA7B70"/>
    <w:rsid w:val="00BA7C55"/>
    <w:rsid w:val="00BA7E5C"/>
    <w:rsid w:val="00BB0286"/>
    <w:rsid w:val="00BB0B36"/>
    <w:rsid w:val="00BB0B71"/>
    <w:rsid w:val="00BB0F03"/>
    <w:rsid w:val="00BB0F58"/>
    <w:rsid w:val="00BB0F79"/>
    <w:rsid w:val="00BB1021"/>
    <w:rsid w:val="00BB1118"/>
    <w:rsid w:val="00BB1C1A"/>
    <w:rsid w:val="00BB1E88"/>
    <w:rsid w:val="00BB1E92"/>
    <w:rsid w:val="00BB203A"/>
    <w:rsid w:val="00BB2211"/>
    <w:rsid w:val="00BB280F"/>
    <w:rsid w:val="00BB2D56"/>
    <w:rsid w:val="00BB2DA1"/>
    <w:rsid w:val="00BB305B"/>
    <w:rsid w:val="00BB31F3"/>
    <w:rsid w:val="00BB380C"/>
    <w:rsid w:val="00BB39E8"/>
    <w:rsid w:val="00BB3C97"/>
    <w:rsid w:val="00BB4602"/>
    <w:rsid w:val="00BB521C"/>
    <w:rsid w:val="00BB54B2"/>
    <w:rsid w:val="00BB54E7"/>
    <w:rsid w:val="00BB5564"/>
    <w:rsid w:val="00BB5669"/>
    <w:rsid w:val="00BB5872"/>
    <w:rsid w:val="00BB58B1"/>
    <w:rsid w:val="00BB611C"/>
    <w:rsid w:val="00BB61E7"/>
    <w:rsid w:val="00BB628A"/>
    <w:rsid w:val="00BB6BC6"/>
    <w:rsid w:val="00BB703D"/>
    <w:rsid w:val="00BB7B5B"/>
    <w:rsid w:val="00BB7C86"/>
    <w:rsid w:val="00BB7C89"/>
    <w:rsid w:val="00BB7FAD"/>
    <w:rsid w:val="00BB7FE6"/>
    <w:rsid w:val="00BC01C0"/>
    <w:rsid w:val="00BC037D"/>
    <w:rsid w:val="00BC0B2F"/>
    <w:rsid w:val="00BC175C"/>
    <w:rsid w:val="00BC1A76"/>
    <w:rsid w:val="00BC1BE0"/>
    <w:rsid w:val="00BC241B"/>
    <w:rsid w:val="00BC2594"/>
    <w:rsid w:val="00BC2811"/>
    <w:rsid w:val="00BC2F49"/>
    <w:rsid w:val="00BC2FC5"/>
    <w:rsid w:val="00BC33F2"/>
    <w:rsid w:val="00BC3A70"/>
    <w:rsid w:val="00BC3AEC"/>
    <w:rsid w:val="00BC4048"/>
    <w:rsid w:val="00BC40D7"/>
    <w:rsid w:val="00BC41CC"/>
    <w:rsid w:val="00BC459D"/>
    <w:rsid w:val="00BC4A91"/>
    <w:rsid w:val="00BC4D22"/>
    <w:rsid w:val="00BC508E"/>
    <w:rsid w:val="00BC5246"/>
    <w:rsid w:val="00BC531D"/>
    <w:rsid w:val="00BC5C1A"/>
    <w:rsid w:val="00BC632C"/>
    <w:rsid w:val="00BC63C2"/>
    <w:rsid w:val="00BC6A0F"/>
    <w:rsid w:val="00BC6D4F"/>
    <w:rsid w:val="00BC6EC2"/>
    <w:rsid w:val="00BC70A6"/>
    <w:rsid w:val="00BC7569"/>
    <w:rsid w:val="00BC75F3"/>
    <w:rsid w:val="00BD01BB"/>
    <w:rsid w:val="00BD0522"/>
    <w:rsid w:val="00BD0C49"/>
    <w:rsid w:val="00BD11F0"/>
    <w:rsid w:val="00BD1291"/>
    <w:rsid w:val="00BD130E"/>
    <w:rsid w:val="00BD14E9"/>
    <w:rsid w:val="00BD15A2"/>
    <w:rsid w:val="00BD1786"/>
    <w:rsid w:val="00BD195C"/>
    <w:rsid w:val="00BD19BB"/>
    <w:rsid w:val="00BD262A"/>
    <w:rsid w:val="00BD28F7"/>
    <w:rsid w:val="00BD29B2"/>
    <w:rsid w:val="00BD2B19"/>
    <w:rsid w:val="00BD2FF6"/>
    <w:rsid w:val="00BD31C8"/>
    <w:rsid w:val="00BD329F"/>
    <w:rsid w:val="00BD363A"/>
    <w:rsid w:val="00BD38B4"/>
    <w:rsid w:val="00BD3A51"/>
    <w:rsid w:val="00BD40AB"/>
    <w:rsid w:val="00BD44BB"/>
    <w:rsid w:val="00BD48D2"/>
    <w:rsid w:val="00BD490A"/>
    <w:rsid w:val="00BD4B35"/>
    <w:rsid w:val="00BD4DF6"/>
    <w:rsid w:val="00BD5162"/>
    <w:rsid w:val="00BD52FD"/>
    <w:rsid w:val="00BD537C"/>
    <w:rsid w:val="00BD5B9C"/>
    <w:rsid w:val="00BD5ED3"/>
    <w:rsid w:val="00BD5EE3"/>
    <w:rsid w:val="00BD5FAD"/>
    <w:rsid w:val="00BD6013"/>
    <w:rsid w:val="00BD60D6"/>
    <w:rsid w:val="00BD60FE"/>
    <w:rsid w:val="00BD62B0"/>
    <w:rsid w:val="00BD6A4E"/>
    <w:rsid w:val="00BD7154"/>
    <w:rsid w:val="00BD7156"/>
    <w:rsid w:val="00BD76B8"/>
    <w:rsid w:val="00BD7C01"/>
    <w:rsid w:val="00BE0879"/>
    <w:rsid w:val="00BE09EC"/>
    <w:rsid w:val="00BE0AFA"/>
    <w:rsid w:val="00BE1221"/>
    <w:rsid w:val="00BE16FC"/>
    <w:rsid w:val="00BE1B93"/>
    <w:rsid w:val="00BE1BBF"/>
    <w:rsid w:val="00BE1CE2"/>
    <w:rsid w:val="00BE22EB"/>
    <w:rsid w:val="00BE2486"/>
    <w:rsid w:val="00BE2868"/>
    <w:rsid w:val="00BE294B"/>
    <w:rsid w:val="00BE2C28"/>
    <w:rsid w:val="00BE2DAA"/>
    <w:rsid w:val="00BE3D56"/>
    <w:rsid w:val="00BE4750"/>
    <w:rsid w:val="00BE4956"/>
    <w:rsid w:val="00BE4FAC"/>
    <w:rsid w:val="00BE5659"/>
    <w:rsid w:val="00BE56D3"/>
    <w:rsid w:val="00BE63DA"/>
    <w:rsid w:val="00BE65D9"/>
    <w:rsid w:val="00BE6E5F"/>
    <w:rsid w:val="00BE6EE4"/>
    <w:rsid w:val="00BE73E6"/>
    <w:rsid w:val="00BE7B7A"/>
    <w:rsid w:val="00BE7BF2"/>
    <w:rsid w:val="00BE7C56"/>
    <w:rsid w:val="00BE7DA6"/>
    <w:rsid w:val="00BF0B93"/>
    <w:rsid w:val="00BF0C81"/>
    <w:rsid w:val="00BF0DB1"/>
    <w:rsid w:val="00BF0E7F"/>
    <w:rsid w:val="00BF0F73"/>
    <w:rsid w:val="00BF130E"/>
    <w:rsid w:val="00BF1813"/>
    <w:rsid w:val="00BF1FC7"/>
    <w:rsid w:val="00BF1FFF"/>
    <w:rsid w:val="00BF22AA"/>
    <w:rsid w:val="00BF2622"/>
    <w:rsid w:val="00BF2A88"/>
    <w:rsid w:val="00BF2CE3"/>
    <w:rsid w:val="00BF2E27"/>
    <w:rsid w:val="00BF2F34"/>
    <w:rsid w:val="00BF2FF9"/>
    <w:rsid w:val="00BF31A5"/>
    <w:rsid w:val="00BF336E"/>
    <w:rsid w:val="00BF3835"/>
    <w:rsid w:val="00BF4051"/>
    <w:rsid w:val="00BF4196"/>
    <w:rsid w:val="00BF47A6"/>
    <w:rsid w:val="00BF4A51"/>
    <w:rsid w:val="00BF4CD2"/>
    <w:rsid w:val="00BF4EB4"/>
    <w:rsid w:val="00BF4F5F"/>
    <w:rsid w:val="00BF5174"/>
    <w:rsid w:val="00BF51C4"/>
    <w:rsid w:val="00BF555C"/>
    <w:rsid w:val="00BF5BD8"/>
    <w:rsid w:val="00BF60B2"/>
    <w:rsid w:val="00BF62B5"/>
    <w:rsid w:val="00BF66B7"/>
    <w:rsid w:val="00BF6955"/>
    <w:rsid w:val="00BF698F"/>
    <w:rsid w:val="00BF6A1D"/>
    <w:rsid w:val="00BF6A1E"/>
    <w:rsid w:val="00BF6CEB"/>
    <w:rsid w:val="00BF6D53"/>
    <w:rsid w:val="00BF70A7"/>
    <w:rsid w:val="00BF70B9"/>
    <w:rsid w:val="00BF7AE7"/>
    <w:rsid w:val="00BF7C48"/>
    <w:rsid w:val="00BF7CC5"/>
    <w:rsid w:val="00BF7F02"/>
    <w:rsid w:val="00BF7FB9"/>
    <w:rsid w:val="00C00307"/>
    <w:rsid w:val="00C005D1"/>
    <w:rsid w:val="00C00AD5"/>
    <w:rsid w:val="00C00BC9"/>
    <w:rsid w:val="00C01089"/>
    <w:rsid w:val="00C019DC"/>
    <w:rsid w:val="00C01ED0"/>
    <w:rsid w:val="00C02024"/>
    <w:rsid w:val="00C021D0"/>
    <w:rsid w:val="00C02B5D"/>
    <w:rsid w:val="00C02C00"/>
    <w:rsid w:val="00C02CB6"/>
    <w:rsid w:val="00C0350A"/>
    <w:rsid w:val="00C04CF3"/>
    <w:rsid w:val="00C051C6"/>
    <w:rsid w:val="00C05577"/>
    <w:rsid w:val="00C05735"/>
    <w:rsid w:val="00C057B1"/>
    <w:rsid w:val="00C057DA"/>
    <w:rsid w:val="00C0599A"/>
    <w:rsid w:val="00C05A85"/>
    <w:rsid w:val="00C05B62"/>
    <w:rsid w:val="00C05E82"/>
    <w:rsid w:val="00C05FDD"/>
    <w:rsid w:val="00C05FF8"/>
    <w:rsid w:val="00C063E0"/>
    <w:rsid w:val="00C065CB"/>
    <w:rsid w:val="00C0670D"/>
    <w:rsid w:val="00C06A22"/>
    <w:rsid w:val="00C06B1E"/>
    <w:rsid w:val="00C0783B"/>
    <w:rsid w:val="00C07938"/>
    <w:rsid w:val="00C07B67"/>
    <w:rsid w:val="00C07C60"/>
    <w:rsid w:val="00C1012D"/>
    <w:rsid w:val="00C10324"/>
    <w:rsid w:val="00C10BEC"/>
    <w:rsid w:val="00C10C56"/>
    <w:rsid w:val="00C10D81"/>
    <w:rsid w:val="00C10EBA"/>
    <w:rsid w:val="00C10F45"/>
    <w:rsid w:val="00C11224"/>
    <w:rsid w:val="00C1190B"/>
    <w:rsid w:val="00C12431"/>
    <w:rsid w:val="00C128FE"/>
    <w:rsid w:val="00C1299F"/>
    <w:rsid w:val="00C13048"/>
    <w:rsid w:val="00C1305D"/>
    <w:rsid w:val="00C1402D"/>
    <w:rsid w:val="00C1449C"/>
    <w:rsid w:val="00C145B9"/>
    <w:rsid w:val="00C147AF"/>
    <w:rsid w:val="00C14F56"/>
    <w:rsid w:val="00C15A98"/>
    <w:rsid w:val="00C15BBD"/>
    <w:rsid w:val="00C167EE"/>
    <w:rsid w:val="00C16B39"/>
    <w:rsid w:val="00C16C46"/>
    <w:rsid w:val="00C16F19"/>
    <w:rsid w:val="00C1703D"/>
    <w:rsid w:val="00C20091"/>
    <w:rsid w:val="00C207D6"/>
    <w:rsid w:val="00C20E89"/>
    <w:rsid w:val="00C21462"/>
    <w:rsid w:val="00C215A6"/>
    <w:rsid w:val="00C217FF"/>
    <w:rsid w:val="00C218EC"/>
    <w:rsid w:val="00C2193F"/>
    <w:rsid w:val="00C21DCF"/>
    <w:rsid w:val="00C22158"/>
    <w:rsid w:val="00C22850"/>
    <w:rsid w:val="00C22907"/>
    <w:rsid w:val="00C22C09"/>
    <w:rsid w:val="00C22F09"/>
    <w:rsid w:val="00C2333E"/>
    <w:rsid w:val="00C2371D"/>
    <w:rsid w:val="00C238D8"/>
    <w:rsid w:val="00C23A3E"/>
    <w:rsid w:val="00C23B59"/>
    <w:rsid w:val="00C23B92"/>
    <w:rsid w:val="00C23E2F"/>
    <w:rsid w:val="00C24144"/>
    <w:rsid w:val="00C24341"/>
    <w:rsid w:val="00C24423"/>
    <w:rsid w:val="00C24C46"/>
    <w:rsid w:val="00C2573A"/>
    <w:rsid w:val="00C25C9A"/>
    <w:rsid w:val="00C25CE5"/>
    <w:rsid w:val="00C262B0"/>
    <w:rsid w:val="00C264AB"/>
    <w:rsid w:val="00C26AB4"/>
    <w:rsid w:val="00C26B25"/>
    <w:rsid w:val="00C26E72"/>
    <w:rsid w:val="00C26FB1"/>
    <w:rsid w:val="00C26FE7"/>
    <w:rsid w:val="00C27812"/>
    <w:rsid w:val="00C27D1A"/>
    <w:rsid w:val="00C30390"/>
    <w:rsid w:val="00C308F8"/>
    <w:rsid w:val="00C309DD"/>
    <w:rsid w:val="00C30E65"/>
    <w:rsid w:val="00C311F0"/>
    <w:rsid w:val="00C31572"/>
    <w:rsid w:val="00C321C2"/>
    <w:rsid w:val="00C32213"/>
    <w:rsid w:val="00C3286D"/>
    <w:rsid w:val="00C32A1B"/>
    <w:rsid w:val="00C32E17"/>
    <w:rsid w:val="00C32F01"/>
    <w:rsid w:val="00C33024"/>
    <w:rsid w:val="00C337F8"/>
    <w:rsid w:val="00C33BCB"/>
    <w:rsid w:val="00C33D74"/>
    <w:rsid w:val="00C33FAA"/>
    <w:rsid w:val="00C34272"/>
    <w:rsid w:val="00C34A6E"/>
    <w:rsid w:val="00C34E0C"/>
    <w:rsid w:val="00C3532F"/>
    <w:rsid w:val="00C36265"/>
    <w:rsid w:val="00C365C8"/>
    <w:rsid w:val="00C3669C"/>
    <w:rsid w:val="00C368EC"/>
    <w:rsid w:val="00C36B8C"/>
    <w:rsid w:val="00C37697"/>
    <w:rsid w:val="00C377F7"/>
    <w:rsid w:val="00C37993"/>
    <w:rsid w:val="00C37F06"/>
    <w:rsid w:val="00C400D4"/>
    <w:rsid w:val="00C4055F"/>
    <w:rsid w:val="00C41C5E"/>
    <w:rsid w:val="00C41CC2"/>
    <w:rsid w:val="00C4207D"/>
    <w:rsid w:val="00C4209C"/>
    <w:rsid w:val="00C42306"/>
    <w:rsid w:val="00C42323"/>
    <w:rsid w:val="00C42377"/>
    <w:rsid w:val="00C427B5"/>
    <w:rsid w:val="00C42ED7"/>
    <w:rsid w:val="00C430D5"/>
    <w:rsid w:val="00C433D7"/>
    <w:rsid w:val="00C4366F"/>
    <w:rsid w:val="00C43873"/>
    <w:rsid w:val="00C44012"/>
    <w:rsid w:val="00C440B0"/>
    <w:rsid w:val="00C440BC"/>
    <w:rsid w:val="00C4443E"/>
    <w:rsid w:val="00C444D9"/>
    <w:rsid w:val="00C444E1"/>
    <w:rsid w:val="00C44817"/>
    <w:rsid w:val="00C44B4E"/>
    <w:rsid w:val="00C44CB6"/>
    <w:rsid w:val="00C45093"/>
    <w:rsid w:val="00C450CA"/>
    <w:rsid w:val="00C454A6"/>
    <w:rsid w:val="00C45832"/>
    <w:rsid w:val="00C45DEE"/>
    <w:rsid w:val="00C464E8"/>
    <w:rsid w:val="00C46C19"/>
    <w:rsid w:val="00C477AB"/>
    <w:rsid w:val="00C477B8"/>
    <w:rsid w:val="00C47B4F"/>
    <w:rsid w:val="00C47F92"/>
    <w:rsid w:val="00C507DA"/>
    <w:rsid w:val="00C509AF"/>
    <w:rsid w:val="00C50E53"/>
    <w:rsid w:val="00C50FDC"/>
    <w:rsid w:val="00C51276"/>
    <w:rsid w:val="00C51339"/>
    <w:rsid w:val="00C514EF"/>
    <w:rsid w:val="00C51C19"/>
    <w:rsid w:val="00C51D6B"/>
    <w:rsid w:val="00C5226C"/>
    <w:rsid w:val="00C52612"/>
    <w:rsid w:val="00C5287E"/>
    <w:rsid w:val="00C52A42"/>
    <w:rsid w:val="00C52AAF"/>
    <w:rsid w:val="00C53628"/>
    <w:rsid w:val="00C53DDE"/>
    <w:rsid w:val="00C53E33"/>
    <w:rsid w:val="00C542F6"/>
    <w:rsid w:val="00C54308"/>
    <w:rsid w:val="00C54398"/>
    <w:rsid w:val="00C545F8"/>
    <w:rsid w:val="00C547C1"/>
    <w:rsid w:val="00C54CAD"/>
    <w:rsid w:val="00C54D32"/>
    <w:rsid w:val="00C54F37"/>
    <w:rsid w:val="00C551FA"/>
    <w:rsid w:val="00C55215"/>
    <w:rsid w:val="00C55518"/>
    <w:rsid w:val="00C5557F"/>
    <w:rsid w:val="00C55C7C"/>
    <w:rsid w:val="00C55E86"/>
    <w:rsid w:val="00C56245"/>
    <w:rsid w:val="00C56282"/>
    <w:rsid w:val="00C565C2"/>
    <w:rsid w:val="00C568F7"/>
    <w:rsid w:val="00C569B8"/>
    <w:rsid w:val="00C573A4"/>
    <w:rsid w:val="00C574F9"/>
    <w:rsid w:val="00C57B07"/>
    <w:rsid w:val="00C57F97"/>
    <w:rsid w:val="00C600F6"/>
    <w:rsid w:val="00C6028D"/>
    <w:rsid w:val="00C60AC1"/>
    <w:rsid w:val="00C61321"/>
    <w:rsid w:val="00C61A6A"/>
    <w:rsid w:val="00C61D7D"/>
    <w:rsid w:val="00C61F26"/>
    <w:rsid w:val="00C61F7B"/>
    <w:rsid w:val="00C62731"/>
    <w:rsid w:val="00C627EA"/>
    <w:rsid w:val="00C62D72"/>
    <w:rsid w:val="00C6301A"/>
    <w:rsid w:val="00C630F4"/>
    <w:rsid w:val="00C6398F"/>
    <w:rsid w:val="00C646E9"/>
    <w:rsid w:val="00C648A9"/>
    <w:rsid w:val="00C6539D"/>
    <w:rsid w:val="00C65506"/>
    <w:rsid w:val="00C65799"/>
    <w:rsid w:val="00C658F3"/>
    <w:rsid w:val="00C65A56"/>
    <w:rsid w:val="00C65B82"/>
    <w:rsid w:val="00C65BD3"/>
    <w:rsid w:val="00C65DBB"/>
    <w:rsid w:val="00C665D1"/>
    <w:rsid w:val="00C666F3"/>
    <w:rsid w:val="00C66836"/>
    <w:rsid w:val="00C66A55"/>
    <w:rsid w:val="00C66B48"/>
    <w:rsid w:val="00C673D7"/>
    <w:rsid w:val="00C67925"/>
    <w:rsid w:val="00C70139"/>
    <w:rsid w:val="00C70487"/>
    <w:rsid w:val="00C704DF"/>
    <w:rsid w:val="00C7104D"/>
    <w:rsid w:val="00C71A30"/>
    <w:rsid w:val="00C7207E"/>
    <w:rsid w:val="00C7211E"/>
    <w:rsid w:val="00C7291D"/>
    <w:rsid w:val="00C72ACE"/>
    <w:rsid w:val="00C72DB3"/>
    <w:rsid w:val="00C7305B"/>
    <w:rsid w:val="00C730E2"/>
    <w:rsid w:val="00C73E4D"/>
    <w:rsid w:val="00C73EA6"/>
    <w:rsid w:val="00C74261"/>
    <w:rsid w:val="00C745BF"/>
    <w:rsid w:val="00C746F0"/>
    <w:rsid w:val="00C749D7"/>
    <w:rsid w:val="00C75EDC"/>
    <w:rsid w:val="00C77122"/>
    <w:rsid w:val="00C771BC"/>
    <w:rsid w:val="00C773B8"/>
    <w:rsid w:val="00C775DD"/>
    <w:rsid w:val="00C77B08"/>
    <w:rsid w:val="00C77C07"/>
    <w:rsid w:val="00C77D9A"/>
    <w:rsid w:val="00C77DA6"/>
    <w:rsid w:val="00C80439"/>
    <w:rsid w:val="00C806A0"/>
    <w:rsid w:val="00C816F1"/>
    <w:rsid w:val="00C819EC"/>
    <w:rsid w:val="00C81CA9"/>
    <w:rsid w:val="00C81CD2"/>
    <w:rsid w:val="00C81EAF"/>
    <w:rsid w:val="00C81ED4"/>
    <w:rsid w:val="00C81F7B"/>
    <w:rsid w:val="00C81FB7"/>
    <w:rsid w:val="00C820E9"/>
    <w:rsid w:val="00C82132"/>
    <w:rsid w:val="00C82207"/>
    <w:rsid w:val="00C82222"/>
    <w:rsid w:val="00C82277"/>
    <w:rsid w:val="00C82383"/>
    <w:rsid w:val="00C8268B"/>
    <w:rsid w:val="00C826A4"/>
    <w:rsid w:val="00C82988"/>
    <w:rsid w:val="00C82D07"/>
    <w:rsid w:val="00C82E04"/>
    <w:rsid w:val="00C835EC"/>
    <w:rsid w:val="00C83FB9"/>
    <w:rsid w:val="00C84141"/>
    <w:rsid w:val="00C84D6F"/>
    <w:rsid w:val="00C84E15"/>
    <w:rsid w:val="00C85087"/>
    <w:rsid w:val="00C857EC"/>
    <w:rsid w:val="00C85A4B"/>
    <w:rsid w:val="00C86696"/>
    <w:rsid w:val="00C86A74"/>
    <w:rsid w:val="00C86D4E"/>
    <w:rsid w:val="00C8723A"/>
    <w:rsid w:val="00C8762E"/>
    <w:rsid w:val="00C879EC"/>
    <w:rsid w:val="00C9046A"/>
    <w:rsid w:val="00C9089B"/>
    <w:rsid w:val="00C90D5B"/>
    <w:rsid w:val="00C9155E"/>
    <w:rsid w:val="00C91722"/>
    <w:rsid w:val="00C91778"/>
    <w:rsid w:val="00C923CC"/>
    <w:rsid w:val="00C92705"/>
    <w:rsid w:val="00C92CB8"/>
    <w:rsid w:val="00C92FF7"/>
    <w:rsid w:val="00C9301A"/>
    <w:rsid w:val="00C930D5"/>
    <w:rsid w:val="00C937D2"/>
    <w:rsid w:val="00C9381E"/>
    <w:rsid w:val="00C93945"/>
    <w:rsid w:val="00C94007"/>
    <w:rsid w:val="00C944FF"/>
    <w:rsid w:val="00C94A70"/>
    <w:rsid w:val="00C94B8F"/>
    <w:rsid w:val="00C94BE1"/>
    <w:rsid w:val="00C94CF3"/>
    <w:rsid w:val="00C94E0D"/>
    <w:rsid w:val="00C94EE1"/>
    <w:rsid w:val="00C9531F"/>
    <w:rsid w:val="00C955A9"/>
    <w:rsid w:val="00C9574C"/>
    <w:rsid w:val="00C9594F"/>
    <w:rsid w:val="00C95ABA"/>
    <w:rsid w:val="00C95C7B"/>
    <w:rsid w:val="00C9603C"/>
    <w:rsid w:val="00C96C30"/>
    <w:rsid w:val="00C96EEA"/>
    <w:rsid w:val="00C971B0"/>
    <w:rsid w:val="00C9720B"/>
    <w:rsid w:val="00C9730C"/>
    <w:rsid w:val="00C9733B"/>
    <w:rsid w:val="00C97487"/>
    <w:rsid w:val="00C97777"/>
    <w:rsid w:val="00CA04DB"/>
    <w:rsid w:val="00CA0640"/>
    <w:rsid w:val="00CA06AF"/>
    <w:rsid w:val="00CA0776"/>
    <w:rsid w:val="00CA078E"/>
    <w:rsid w:val="00CA087D"/>
    <w:rsid w:val="00CA0CCE"/>
    <w:rsid w:val="00CA0FEB"/>
    <w:rsid w:val="00CA127A"/>
    <w:rsid w:val="00CA1400"/>
    <w:rsid w:val="00CA1468"/>
    <w:rsid w:val="00CA15E9"/>
    <w:rsid w:val="00CA15F4"/>
    <w:rsid w:val="00CA1C14"/>
    <w:rsid w:val="00CA1D92"/>
    <w:rsid w:val="00CA2412"/>
    <w:rsid w:val="00CA246E"/>
    <w:rsid w:val="00CA26F6"/>
    <w:rsid w:val="00CA2C76"/>
    <w:rsid w:val="00CA2E74"/>
    <w:rsid w:val="00CA357C"/>
    <w:rsid w:val="00CA3750"/>
    <w:rsid w:val="00CA37D5"/>
    <w:rsid w:val="00CA3F9F"/>
    <w:rsid w:val="00CA4172"/>
    <w:rsid w:val="00CA43E7"/>
    <w:rsid w:val="00CA4664"/>
    <w:rsid w:val="00CA5009"/>
    <w:rsid w:val="00CA53EC"/>
    <w:rsid w:val="00CA55DC"/>
    <w:rsid w:val="00CA5615"/>
    <w:rsid w:val="00CA699F"/>
    <w:rsid w:val="00CA712E"/>
    <w:rsid w:val="00CA724C"/>
    <w:rsid w:val="00CA734A"/>
    <w:rsid w:val="00CA7D1F"/>
    <w:rsid w:val="00CB01AE"/>
    <w:rsid w:val="00CB0681"/>
    <w:rsid w:val="00CB08DE"/>
    <w:rsid w:val="00CB103B"/>
    <w:rsid w:val="00CB10AF"/>
    <w:rsid w:val="00CB1461"/>
    <w:rsid w:val="00CB1638"/>
    <w:rsid w:val="00CB1FE3"/>
    <w:rsid w:val="00CB258F"/>
    <w:rsid w:val="00CB25DD"/>
    <w:rsid w:val="00CB2912"/>
    <w:rsid w:val="00CB29F8"/>
    <w:rsid w:val="00CB2DF3"/>
    <w:rsid w:val="00CB31AC"/>
    <w:rsid w:val="00CB3805"/>
    <w:rsid w:val="00CB3A33"/>
    <w:rsid w:val="00CB3FC8"/>
    <w:rsid w:val="00CB4141"/>
    <w:rsid w:val="00CB4877"/>
    <w:rsid w:val="00CB49A5"/>
    <w:rsid w:val="00CB4A68"/>
    <w:rsid w:val="00CB4F89"/>
    <w:rsid w:val="00CB4FFA"/>
    <w:rsid w:val="00CB575B"/>
    <w:rsid w:val="00CB5EBC"/>
    <w:rsid w:val="00CB5EC2"/>
    <w:rsid w:val="00CB607B"/>
    <w:rsid w:val="00CB612B"/>
    <w:rsid w:val="00CB644F"/>
    <w:rsid w:val="00CB646F"/>
    <w:rsid w:val="00CB6E3B"/>
    <w:rsid w:val="00CB705F"/>
    <w:rsid w:val="00CB7259"/>
    <w:rsid w:val="00CB77D6"/>
    <w:rsid w:val="00CB7BB0"/>
    <w:rsid w:val="00CB7DF0"/>
    <w:rsid w:val="00CC00A5"/>
    <w:rsid w:val="00CC0271"/>
    <w:rsid w:val="00CC0607"/>
    <w:rsid w:val="00CC0687"/>
    <w:rsid w:val="00CC125E"/>
    <w:rsid w:val="00CC1627"/>
    <w:rsid w:val="00CC2282"/>
    <w:rsid w:val="00CC24E6"/>
    <w:rsid w:val="00CC264E"/>
    <w:rsid w:val="00CC357F"/>
    <w:rsid w:val="00CC3583"/>
    <w:rsid w:val="00CC3A5A"/>
    <w:rsid w:val="00CC3B88"/>
    <w:rsid w:val="00CC3F3F"/>
    <w:rsid w:val="00CC3F74"/>
    <w:rsid w:val="00CC4290"/>
    <w:rsid w:val="00CC4667"/>
    <w:rsid w:val="00CC4827"/>
    <w:rsid w:val="00CC48E3"/>
    <w:rsid w:val="00CC4D48"/>
    <w:rsid w:val="00CC5A57"/>
    <w:rsid w:val="00CC6C0F"/>
    <w:rsid w:val="00CC7623"/>
    <w:rsid w:val="00CC78BD"/>
    <w:rsid w:val="00CC7C19"/>
    <w:rsid w:val="00CC7FDA"/>
    <w:rsid w:val="00CD0149"/>
    <w:rsid w:val="00CD0816"/>
    <w:rsid w:val="00CD0940"/>
    <w:rsid w:val="00CD0CEB"/>
    <w:rsid w:val="00CD0D9B"/>
    <w:rsid w:val="00CD121B"/>
    <w:rsid w:val="00CD1F27"/>
    <w:rsid w:val="00CD2396"/>
    <w:rsid w:val="00CD2539"/>
    <w:rsid w:val="00CD2AE0"/>
    <w:rsid w:val="00CD2FA3"/>
    <w:rsid w:val="00CD3018"/>
    <w:rsid w:val="00CD3A3D"/>
    <w:rsid w:val="00CD48ED"/>
    <w:rsid w:val="00CD50AA"/>
    <w:rsid w:val="00CD53DC"/>
    <w:rsid w:val="00CD5477"/>
    <w:rsid w:val="00CD5631"/>
    <w:rsid w:val="00CD59B2"/>
    <w:rsid w:val="00CD5B87"/>
    <w:rsid w:val="00CD5D51"/>
    <w:rsid w:val="00CD60C0"/>
    <w:rsid w:val="00CD6380"/>
    <w:rsid w:val="00CD67BA"/>
    <w:rsid w:val="00CD6861"/>
    <w:rsid w:val="00CD7149"/>
    <w:rsid w:val="00CD71BF"/>
    <w:rsid w:val="00CD7D78"/>
    <w:rsid w:val="00CD7DA5"/>
    <w:rsid w:val="00CD7DF5"/>
    <w:rsid w:val="00CD7E94"/>
    <w:rsid w:val="00CD7EC2"/>
    <w:rsid w:val="00CE06C4"/>
    <w:rsid w:val="00CE07B3"/>
    <w:rsid w:val="00CE08D3"/>
    <w:rsid w:val="00CE0B06"/>
    <w:rsid w:val="00CE0B23"/>
    <w:rsid w:val="00CE0D9A"/>
    <w:rsid w:val="00CE0FFF"/>
    <w:rsid w:val="00CE1143"/>
    <w:rsid w:val="00CE12BF"/>
    <w:rsid w:val="00CE141B"/>
    <w:rsid w:val="00CE152B"/>
    <w:rsid w:val="00CE19E4"/>
    <w:rsid w:val="00CE1A3E"/>
    <w:rsid w:val="00CE1B3D"/>
    <w:rsid w:val="00CE1E34"/>
    <w:rsid w:val="00CE20FF"/>
    <w:rsid w:val="00CE22FF"/>
    <w:rsid w:val="00CE26E3"/>
    <w:rsid w:val="00CE2E02"/>
    <w:rsid w:val="00CE3524"/>
    <w:rsid w:val="00CE36FA"/>
    <w:rsid w:val="00CE38C6"/>
    <w:rsid w:val="00CE3988"/>
    <w:rsid w:val="00CE3F49"/>
    <w:rsid w:val="00CE3F75"/>
    <w:rsid w:val="00CE4011"/>
    <w:rsid w:val="00CE41AC"/>
    <w:rsid w:val="00CE4AF6"/>
    <w:rsid w:val="00CE4D3B"/>
    <w:rsid w:val="00CE4DB2"/>
    <w:rsid w:val="00CE52EE"/>
    <w:rsid w:val="00CE629C"/>
    <w:rsid w:val="00CE631B"/>
    <w:rsid w:val="00CE64F8"/>
    <w:rsid w:val="00CE67F8"/>
    <w:rsid w:val="00CE68C7"/>
    <w:rsid w:val="00CE6EA1"/>
    <w:rsid w:val="00CE7A49"/>
    <w:rsid w:val="00CE7C1F"/>
    <w:rsid w:val="00CE7C4D"/>
    <w:rsid w:val="00CF03C6"/>
    <w:rsid w:val="00CF05A7"/>
    <w:rsid w:val="00CF0DD4"/>
    <w:rsid w:val="00CF0E25"/>
    <w:rsid w:val="00CF0EE8"/>
    <w:rsid w:val="00CF1121"/>
    <w:rsid w:val="00CF113D"/>
    <w:rsid w:val="00CF17E0"/>
    <w:rsid w:val="00CF17FB"/>
    <w:rsid w:val="00CF2337"/>
    <w:rsid w:val="00CF24A6"/>
    <w:rsid w:val="00CF27E6"/>
    <w:rsid w:val="00CF2A64"/>
    <w:rsid w:val="00CF2C8E"/>
    <w:rsid w:val="00CF2DE8"/>
    <w:rsid w:val="00CF35D5"/>
    <w:rsid w:val="00CF3667"/>
    <w:rsid w:val="00CF3EB6"/>
    <w:rsid w:val="00CF4089"/>
    <w:rsid w:val="00CF4B55"/>
    <w:rsid w:val="00CF4D4B"/>
    <w:rsid w:val="00CF51AB"/>
    <w:rsid w:val="00CF5465"/>
    <w:rsid w:val="00CF5665"/>
    <w:rsid w:val="00CF59BB"/>
    <w:rsid w:val="00CF67C9"/>
    <w:rsid w:val="00CF6EEC"/>
    <w:rsid w:val="00CF6F83"/>
    <w:rsid w:val="00CF72EB"/>
    <w:rsid w:val="00CF7486"/>
    <w:rsid w:val="00CF75FF"/>
    <w:rsid w:val="00CF77F4"/>
    <w:rsid w:val="00CF782A"/>
    <w:rsid w:val="00CF78A1"/>
    <w:rsid w:val="00CF7FA4"/>
    <w:rsid w:val="00D00BA5"/>
    <w:rsid w:val="00D01D05"/>
    <w:rsid w:val="00D0209C"/>
    <w:rsid w:val="00D0259A"/>
    <w:rsid w:val="00D027A7"/>
    <w:rsid w:val="00D027A8"/>
    <w:rsid w:val="00D03232"/>
    <w:rsid w:val="00D033E2"/>
    <w:rsid w:val="00D03529"/>
    <w:rsid w:val="00D0370F"/>
    <w:rsid w:val="00D03731"/>
    <w:rsid w:val="00D04267"/>
    <w:rsid w:val="00D04D06"/>
    <w:rsid w:val="00D0527F"/>
    <w:rsid w:val="00D0542D"/>
    <w:rsid w:val="00D0546D"/>
    <w:rsid w:val="00D0641F"/>
    <w:rsid w:val="00D06752"/>
    <w:rsid w:val="00D0684F"/>
    <w:rsid w:val="00D070E5"/>
    <w:rsid w:val="00D07955"/>
    <w:rsid w:val="00D07B0A"/>
    <w:rsid w:val="00D07E38"/>
    <w:rsid w:val="00D107CD"/>
    <w:rsid w:val="00D10819"/>
    <w:rsid w:val="00D109EA"/>
    <w:rsid w:val="00D10A58"/>
    <w:rsid w:val="00D10A80"/>
    <w:rsid w:val="00D11029"/>
    <w:rsid w:val="00D11249"/>
    <w:rsid w:val="00D115C3"/>
    <w:rsid w:val="00D11A90"/>
    <w:rsid w:val="00D11B56"/>
    <w:rsid w:val="00D12339"/>
    <w:rsid w:val="00D12663"/>
    <w:rsid w:val="00D12A7C"/>
    <w:rsid w:val="00D130AE"/>
    <w:rsid w:val="00D132BD"/>
    <w:rsid w:val="00D13948"/>
    <w:rsid w:val="00D14C4D"/>
    <w:rsid w:val="00D14C62"/>
    <w:rsid w:val="00D151CC"/>
    <w:rsid w:val="00D15419"/>
    <w:rsid w:val="00D15545"/>
    <w:rsid w:val="00D156EF"/>
    <w:rsid w:val="00D1576D"/>
    <w:rsid w:val="00D15883"/>
    <w:rsid w:val="00D15890"/>
    <w:rsid w:val="00D1697B"/>
    <w:rsid w:val="00D16AF5"/>
    <w:rsid w:val="00D1728E"/>
    <w:rsid w:val="00D17875"/>
    <w:rsid w:val="00D17F91"/>
    <w:rsid w:val="00D20D72"/>
    <w:rsid w:val="00D21008"/>
    <w:rsid w:val="00D21116"/>
    <w:rsid w:val="00D212C9"/>
    <w:rsid w:val="00D216F9"/>
    <w:rsid w:val="00D21843"/>
    <w:rsid w:val="00D21B99"/>
    <w:rsid w:val="00D22A5B"/>
    <w:rsid w:val="00D232ED"/>
    <w:rsid w:val="00D23E72"/>
    <w:rsid w:val="00D23E95"/>
    <w:rsid w:val="00D24468"/>
    <w:rsid w:val="00D24846"/>
    <w:rsid w:val="00D249EA"/>
    <w:rsid w:val="00D24A30"/>
    <w:rsid w:val="00D25655"/>
    <w:rsid w:val="00D257EF"/>
    <w:rsid w:val="00D25B71"/>
    <w:rsid w:val="00D25BF5"/>
    <w:rsid w:val="00D2619C"/>
    <w:rsid w:val="00D2655B"/>
    <w:rsid w:val="00D26659"/>
    <w:rsid w:val="00D26F4C"/>
    <w:rsid w:val="00D26F85"/>
    <w:rsid w:val="00D272DA"/>
    <w:rsid w:val="00D27C63"/>
    <w:rsid w:val="00D27D0E"/>
    <w:rsid w:val="00D27D35"/>
    <w:rsid w:val="00D30347"/>
    <w:rsid w:val="00D30915"/>
    <w:rsid w:val="00D30A6F"/>
    <w:rsid w:val="00D30C55"/>
    <w:rsid w:val="00D3114B"/>
    <w:rsid w:val="00D31274"/>
    <w:rsid w:val="00D31295"/>
    <w:rsid w:val="00D31319"/>
    <w:rsid w:val="00D3151E"/>
    <w:rsid w:val="00D31668"/>
    <w:rsid w:val="00D318A4"/>
    <w:rsid w:val="00D31EA6"/>
    <w:rsid w:val="00D3205F"/>
    <w:rsid w:val="00D32A6B"/>
    <w:rsid w:val="00D32D62"/>
    <w:rsid w:val="00D32EE7"/>
    <w:rsid w:val="00D33220"/>
    <w:rsid w:val="00D33298"/>
    <w:rsid w:val="00D33344"/>
    <w:rsid w:val="00D33861"/>
    <w:rsid w:val="00D33C5A"/>
    <w:rsid w:val="00D33F1C"/>
    <w:rsid w:val="00D34B94"/>
    <w:rsid w:val="00D34DDA"/>
    <w:rsid w:val="00D34E51"/>
    <w:rsid w:val="00D350EA"/>
    <w:rsid w:val="00D355C5"/>
    <w:rsid w:val="00D35619"/>
    <w:rsid w:val="00D35C22"/>
    <w:rsid w:val="00D3602B"/>
    <w:rsid w:val="00D37480"/>
    <w:rsid w:val="00D3754D"/>
    <w:rsid w:val="00D376F5"/>
    <w:rsid w:val="00D37768"/>
    <w:rsid w:val="00D403D1"/>
    <w:rsid w:val="00D40403"/>
    <w:rsid w:val="00D40D27"/>
    <w:rsid w:val="00D40E3F"/>
    <w:rsid w:val="00D40E87"/>
    <w:rsid w:val="00D40EFF"/>
    <w:rsid w:val="00D40F9B"/>
    <w:rsid w:val="00D41560"/>
    <w:rsid w:val="00D417B7"/>
    <w:rsid w:val="00D418AE"/>
    <w:rsid w:val="00D41AD9"/>
    <w:rsid w:val="00D41D2B"/>
    <w:rsid w:val="00D41DC9"/>
    <w:rsid w:val="00D4241D"/>
    <w:rsid w:val="00D42510"/>
    <w:rsid w:val="00D42795"/>
    <w:rsid w:val="00D42B1D"/>
    <w:rsid w:val="00D42F49"/>
    <w:rsid w:val="00D4316D"/>
    <w:rsid w:val="00D43805"/>
    <w:rsid w:val="00D43F54"/>
    <w:rsid w:val="00D447DD"/>
    <w:rsid w:val="00D449F1"/>
    <w:rsid w:val="00D44E2D"/>
    <w:rsid w:val="00D45330"/>
    <w:rsid w:val="00D4580D"/>
    <w:rsid w:val="00D45912"/>
    <w:rsid w:val="00D459C2"/>
    <w:rsid w:val="00D45A6D"/>
    <w:rsid w:val="00D461E1"/>
    <w:rsid w:val="00D46602"/>
    <w:rsid w:val="00D4690E"/>
    <w:rsid w:val="00D46CC4"/>
    <w:rsid w:val="00D46F3C"/>
    <w:rsid w:val="00D46F61"/>
    <w:rsid w:val="00D46FF8"/>
    <w:rsid w:val="00D47BDF"/>
    <w:rsid w:val="00D47F6E"/>
    <w:rsid w:val="00D50582"/>
    <w:rsid w:val="00D5091C"/>
    <w:rsid w:val="00D50961"/>
    <w:rsid w:val="00D51237"/>
    <w:rsid w:val="00D514BF"/>
    <w:rsid w:val="00D516AC"/>
    <w:rsid w:val="00D51A44"/>
    <w:rsid w:val="00D51C4F"/>
    <w:rsid w:val="00D51D5C"/>
    <w:rsid w:val="00D51E80"/>
    <w:rsid w:val="00D52429"/>
    <w:rsid w:val="00D52F1C"/>
    <w:rsid w:val="00D5321D"/>
    <w:rsid w:val="00D5325A"/>
    <w:rsid w:val="00D53C3A"/>
    <w:rsid w:val="00D546E0"/>
    <w:rsid w:val="00D548CE"/>
    <w:rsid w:val="00D54D15"/>
    <w:rsid w:val="00D558F6"/>
    <w:rsid w:val="00D562C9"/>
    <w:rsid w:val="00D5631A"/>
    <w:rsid w:val="00D56329"/>
    <w:rsid w:val="00D564C3"/>
    <w:rsid w:val="00D56664"/>
    <w:rsid w:val="00D566C5"/>
    <w:rsid w:val="00D566CF"/>
    <w:rsid w:val="00D567B9"/>
    <w:rsid w:val="00D56942"/>
    <w:rsid w:val="00D57171"/>
    <w:rsid w:val="00D57F92"/>
    <w:rsid w:val="00D602F2"/>
    <w:rsid w:val="00D60396"/>
    <w:rsid w:val="00D6039B"/>
    <w:rsid w:val="00D60ABC"/>
    <w:rsid w:val="00D60D51"/>
    <w:rsid w:val="00D61289"/>
    <w:rsid w:val="00D618DA"/>
    <w:rsid w:val="00D61DB5"/>
    <w:rsid w:val="00D61EA0"/>
    <w:rsid w:val="00D61F99"/>
    <w:rsid w:val="00D61FB2"/>
    <w:rsid w:val="00D62027"/>
    <w:rsid w:val="00D620C5"/>
    <w:rsid w:val="00D6215C"/>
    <w:rsid w:val="00D62988"/>
    <w:rsid w:val="00D62A80"/>
    <w:rsid w:val="00D62DF0"/>
    <w:rsid w:val="00D62FD5"/>
    <w:rsid w:val="00D632B5"/>
    <w:rsid w:val="00D63326"/>
    <w:rsid w:val="00D63585"/>
    <w:rsid w:val="00D63799"/>
    <w:rsid w:val="00D63DE9"/>
    <w:rsid w:val="00D64974"/>
    <w:rsid w:val="00D65154"/>
    <w:rsid w:val="00D652A6"/>
    <w:rsid w:val="00D6532E"/>
    <w:rsid w:val="00D655ED"/>
    <w:rsid w:val="00D65CAF"/>
    <w:rsid w:val="00D6643F"/>
    <w:rsid w:val="00D6648F"/>
    <w:rsid w:val="00D66A0A"/>
    <w:rsid w:val="00D66BE9"/>
    <w:rsid w:val="00D671D6"/>
    <w:rsid w:val="00D67209"/>
    <w:rsid w:val="00D67338"/>
    <w:rsid w:val="00D67342"/>
    <w:rsid w:val="00D67587"/>
    <w:rsid w:val="00D67691"/>
    <w:rsid w:val="00D678FB"/>
    <w:rsid w:val="00D678FE"/>
    <w:rsid w:val="00D7040E"/>
    <w:rsid w:val="00D7071A"/>
    <w:rsid w:val="00D709C0"/>
    <w:rsid w:val="00D70D3C"/>
    <w:rsid w:val="00D710C4"/>
    <w:rsid w:val="00D714FD"/>
    <w:rsid w:val="00D71EEA"/>
    <w:rsid w:val="00D72461"/>
    <w:rsid w:val="00D727C8"/>
    <w:rsid w:val="00D72B6D"/>
    <w:rsid w:val="00D72CDF"/>
    <w:rsid w:val="00D73BA5"/>
    <w:rsid w:val="00D73BDD"/>
    <w:rsid w:val="00D73DD7"/>
    <w:rsid w:val="00D746D6"/>
    <w:rsid w:val="00D748F3"/>
    <w:rsid w:val="00D74E40"/>
    <w:rsid w:val="00D74F37"/>
    <w:rsid w:val="00D7503F"/>
    <w:rsid w:val="00D75EDE"/>
    <w:rsid w:val="00D7622D"/>
    <w:rsid w:val="00D76482"/>
    <w:rsid w:val="00D7649F"/>
    <w:rsid w:val="00D76819"/>
    <w:rsid w:val="00D76C0B"/>
    <w:rsid w:val="00D77ACD"/>
    <w:rsid w:val="00D77D4C"/>
    <w:rsid w:val="00D77E5C"/>
    <w:rsid w:val="00D80336"/>
    <w:rsid w:val="00D80733"/>
    <w:rsid w:val="00D807F3"/>
    <w:rsid w:val="00D80833"/>
    <w:rsid w:val="00D80909"/>
    <w:rsid w:val="00D80BE9"/>
    <w:rsid w:val="00D80E67"/>
    <w:rsid w:val="00D810F0"/>
    <w:rsid w:val="00D812AA"/>
    <w:rsid w:val="00D819C7"/>
    <w:rsid w:val="00D81A3B"/>
    <w:rsid w:val="00D81F3C"/>
    <w:rsid w:val="00D81F43"/>
    <w:rsid w:val="00D81FF4"/>
    <w:rsid w:val="00D8243F"/>
    <w:rsid w:val="00D82736"/>
    <w:rsid w:val="00D82CC1"/>
    <w:rsid w:val="00D82DD3"/>
    <w:rsid w:val="00D8305E"/>
    <w:rsid w:val="00D830F9"/>
    <w:rsid w:val="00D832CC"/>
    <w:rsid w:val="00D83591"/>
    <w:rsid w:val="00D83995"/>
    <w:rsid w:val="00D83A60"/>
    <w:rsid w:val="00D85124"/>
    <w:rsid w:val="00D85A8F"/>
    <w:rsid w:val="00D85B48"/>
    <w:rsid w:val="00D86384"/>
    <w:rsid w:val="00D8641A"/>
    <w:rsid w:val="00D86495"/>
    <w:rsid w:val="00D86762"/>
    <w:rsid w:val="00D86A7A"/>
    <w:rsid w:val="00D874D6"/>
    <w:rsid w:val="00D87758"/>
    <w:rsid w:val="00D87A47"/>
    <w:rsid w:val="00D87D6E"/>
    <w:rsid w:val="00D900E7"/>
    <w:rsid w:val="00D903DD"/>
    <w:rsid w:val="00D90B90"/>
    <w:rsid w:val="00D90D94"/>
    <w:rsid w:val="00D911D7"/>
    <w:rsid w:val="00D91298"/>
    <w:rsid w:val="00D91553"/>
    <w:rsid w:val="00D921CA"/>
    <w:rsid w:val="00D92293"/>
    <w:rsid w:val="00D92392"/>
    <w:rsid w:val="00D92F47"/>
    <w:rsid w:val="00D92F8E"/>
    <w:rsid w:val="00D9361C"/>
    <w:rsid w:val="00D93B8D"/>
    <w:rsid w:val="00D942FD"/>
    <w:rsid w:val="00D95023"/>
    <w:rsid w:val="00D9549E"/>
    <w:rsid w:val="00D95950"/>
    <w:rsid w:val="00D95976"/>
    <w:rsid w:val="00D95DD8"/>
    <w:rsid w:val="00D96033"/>
    <w:rsid w:val="00D96266"/>
    <w:rsid w:val="00D963E0"/>
    <w:rsid w:val="00D964D4"/>
    <w:rsid w:val="00D967C4"/>
    <w:rsid w:val="00D96D3F"/>
    <w:rsid w:val="00D97238"/>
    <w:rsid w:val="00D9744D"/>
    <w:rsid w:val="00D97534"/>
    <w:rsid w:val="00D97952"/>
    <w:rsid w:val="00D97D7B"/>
    <w:rsid w:val="00D97EFE"/>
    <w:rsid w:val="00D97F0A"/>
    <w:rsid w:val="00DA0173"/>
    <w:rsid w:val="00DA03E4"/>
    <w:rsid w:val="00DA0655"/>
    <w:rsid w:val="00DA0788"/>
    <w:rsid w:val="00DA0A42"/>
    <w:rsid w:val="00DA0A71"/>
    <w:rsid w:val="00DA12CA"/>
    <w:rsid w:val="00DA12DA"/>
    <w:rsid w:val="00DA13B4"/>
    <w:rsid w:val="00DA1763"/>
    <w:rsid w:val="00DA1B4B"/>
    <w:rsid w:val="00DA1B6E"/>
    <w:rsid w:val="00DA2009"/>
    <w:rsid w:val="00DA2324"/>
    <w:rsid w:val="00DA25F1"/>
    <w:rsid w:val="00DA26B1"/>
    <w:rsid w:val="00DA2FAE"/>
    <w:rsid w:val="00DA3140"/>
    <w:rsid w:val="00DA3187"/>
    <w:rsid w:val="00DA33E4"/>
    <w:rsid w:val="00DA3900"/>
    <w:rsid w:val="00DA41D4"/>
    <w:rsid w:val="00DA420F"/>
    <w:rsid w:val="00DA4DD7"/>
    <w:rsid w:val="00DA537B"/>
    <w:rsid w:val="00DA5443"/>
    <w:rsid w:val="00DA550B"/>
    <w:rsid w:val="00DA5E25"/>
    <w:rsid w:val="00DA6557"/>
    <w:rsid w:val="00DA65C6"/>
    <w:rsid w:val="00DA666E"/>
    <w:rsid w:val="00DA6EA5"/>
    <w:rsid w:val="00DA7185"/>
    <w:rsid w:val="00DA7355"/>
    <w:rsid w:val="00DA7A51"/>
    <w:rsid w:val="00DA7CF8"/>
    <w:rsid w:val="00DB0579"/>
    <w:rsid w:val="00DB0612"/>
    <w:rsid w:val="00DB0643"/>
    <w:rsid w:val="00DB08AB"/>
    <w:rsid w:val="00DB09F4"/>
    <w:rsid w:val="00DB0BC0"/>
    <w:rsid w:val="00DB0C7E"/>
    <w:rsid w:val="00DB0F11"/>
    <w:rsid w:val="00DB0F86"/>
    <w:rsid w:val="00DB177C"/>
    <w:rsid w:val="00DB191D"/>
    <w:rsid w:val="00DB1A6E"/>
    <w:rsid w:val="00DB1B73"/>
    <w:rsid w:val="00DB240E"/>
    <w:rsid w:val="00DB2CD4"/>
    <w:rsid w:val="00DB2D0E"/>
    <w:rsid w:val="00DB2F11"/>
    <w:rsid w:val="00DB3040"/>
    <w:rsid w:val="00DB30B4"/>
    <w:rsid w:val="00DB3520"/>
    <w:rsid w:val="00DB4135"/>
    <w:rsid w:val="00DB4281"/>
    <w:rsid w:val="00DB4CA6"/>
    <w:rsid w:val="00DB4EF1"/>
    <w:rsid w:val="00DB51B4"/>
    <w:rsid w:val="00DB5707"/>
    <w:rsid w:val="00DB5BF6"/>
    <w:rsid w:val="00DB6024"/>
    <w:rsid w:val="00DB62EA"/>
    <w:rsid w:val="00DB643F"/>
    <w:rsid w:val="00DB654B"/>
    <w:rsid w:val="00DB6A37"/>
    <w:rsid w:val="00DB6BA4"/>
    <w:rsid w:val="00DB6D74"/>
    <w:rsid w:val="00DB6E1A"/>
    <w:rsid w:val="00DB722D"/>
    <w:rsid w:val="00DB774F"/>
    <w:rsid w:val="00DB7962"/>
    <w:rsid w:val="00DB7A05"/>
    <w:rsid w:val="00DC05A8"/>
    <w:rsid w:val="00DC06F8"/>
    <w:rsid w:val="00DC0917"/>
    <w:rsid w:val="00DC0C84"/>
    <w:rsid w:val="00DC0D8A"/>
    <w:rsid w:val="00DC0EAD"/>
    <w:rsid w:val="00DC14ED"/>
    <w:rsid w:val="00DC1554"/>
    <w:rsid w:val="00DC185B"/>
    <w:rsid w:val="00DC189B"/>
    <w:rsid w:val="00DC1F2B"/>
    <w:rsid w:val="00DC2664"/>
    <w:rsid w:val="00DC2A5D"/>
    <w:rsid w:val="00DC30D0"/>
    <w:rsid w:val="00DC31AF"/>
    <w:rsid w:val="00DC32C5"/>
    <w:rsid w:val="00DC330E"/>
    <w:rsid w:val="00DC35B7"/>
    <w:rsid w:val="00DC37F0"/>
    <w:rsid w:val="00DC3955"/>
    <w:rsid w:val="00DC398C"/>
    <w:rsid w:val="00DC3ED5"/>
    <w:rsid w:val="00DC3EEA"/>
    <w:rsid w:val="00DC40EC"/>
    <w:rsid w:val="00DC44A0"/>
    <w:rsid w:val="00DC45BF"/>
    <w:rsid w:val="00DC4924"/>
    <w:rsid w:val="00DC4B67"/>
    <w:rsid w:val="00DC4CDF"/>
    <w:rsid w:val="00DC50CF"/>
    <w:rsid w:val="00DC526C"/>
    <w:rsid w:val="00DC5750"/>
    <w:rsid w:val="00DC6003"/>
    <w:rsid w:val="00DC63B1"/>
    <w:rsid w:val="00DC6522"/>
    <w:rsid w:val="00DC6D78"/>
    <w:rsid w:val="00DC701C"/>
    <w:rsid w:val="00DC72F0"/>
    <w:rsid w:val="00DC75CA"/>
    <w:rsid w:val="00DC7CC2"/>
    <w:rsid w:val="00DC7EA2"/>
    <w:rsid w:val="00DD037D"/>
    <w:rsid w:val="00DD059C"/>
    <w:rsid w:val="00DD08C1"/>
    <w:rsid w:val="00DD09E2"/>
    <w:rsid w:val="00DD1184"/>
    <w:rsid w:val="00DD1797"/>
    <w:rsid w:val="00DD1934"/>
    <w:rsid w:val="00DD1B83"/>
    <w:rsid w:val="00DD1BD9"/>
    <w:rsid w:val="00DD1F67"/>
    <w:rsid w:val="00DD2102"/>
    <w:rsid w:val="00DD24FA"/>
    <w:rsid w:val="00DD2921"/>
    <w:rsid w:val="00DD2AE6"/>
    <w:rsid w:val="00DD2FB1"/>
    <w:rsid w:val="00DD34F3"/>
    <w:rsid w:val="00DD351E"/>
    <w:rsid w:val="00DD3BEE"/>
    <w:rsid w:val="00DD401F"/>
    <w:rsid w:val="00DD40A1"/>
    <w:rsid w:val="00DD4162"/>
    <w:rsid w:val="00DD4403"/>
    <w:rsid w:val="00DD46C1"/>
    <w:rsid w:val="00DD472C"/>
    <w:rsid w:val="00DD4850"/>
    <w:rsid w:val="00DD4A49"/>
    <w:rsid w:val="00DD4BBC"/>
    <w:rsid w:val="00DD5258"/>
    <w:rsid w:val="00DD548B"/>
    <w:rsid w:val="00DD6D8D"/>
    <w:rsid w:val="00DD6F76"/>
    <w:rsid w:val="00DD7836"/>
    <w:rsid w:val="00DD7FDA"/>
    <w:rsid w:val="00DE0029"/>
    <w:rsid w:val="00DE09B9"/>
    <w:rsid w:val="00DE0E97"/>
    <w:rsid w:val="00DE0FD5"/>
    <w:rsid w:val="00DE1863"/>
    <w:rsid w:val="00DE1B0F"/>
    <w:rsid w:val="00DE1C3F"/>
    <w:rsid w:val="00DE1DA4"/>
    <w:rsid w:val="00DE1DD1"/>
    <w:rsid w:val="00DE26A0"/>
    <w:rsid w:val="00DE29A2"/>
    <w:rsid w:val="00DE2C99"/>
    <w:rsid w:val="00DE3831"/>
    <w:rsid w:val="00DE3B7F"/>
    <w:rsid w:val="00DE3D73"/>
    <w:rsid w:val="00DE3DC9"/>
    <w:rsid w:val="00DE3EA0"/>
    <w:rsid w:val="00DE40B9"/>
    <w:rsid w:val="00DE414C"/>
    <w:rsid w:val="00DE4200"/>
    <w:rsid w:val="00DE46AF"/>
    <w:rsid w:val="00DE4A4F"/>
    <w:rsid w:val="00DE4CB2"/>
    <w:rsid w:val="00DE51A5"/>
    <w:rsid w:val="00DE5242"/>
    <w:rsid w:val="00DE53B0"/>
    <w:rsid w:val="00DE53D3"/>
    <w:rsid w:val="00DE55B6"/>
    <w:rsid w:val="00DE5903"/>
    <w:rsid w:val="00DE5C1E"/>
    <w:rsid w:val="00DE5E93"/>
    <w:rsid w:val="00DE5EDB"/>
    <w:rsid w:val="00DE610D"/>
    <w:rsid w:val="00DE6369"/>
    <w:rsid w:val="00DE660C"/>
    <w:rsid w:val="00DE6ACF"/>
    <w:rsid w:val="00DE7094"/>
    <w:rsid w:val="00DE73E9"/>
    <w:rsid w:val="00DE759D"/>
    <w:rsid w:val="00DE783E"/>
    <w:rsid w:val="00DE78FE"/>
    <w:rsid w:val="00DE7CBC"/>
    <w:rsid w:val="00DE7E05"/>
    <w:rsid w:val="00DF03C5"/>
    <w:rsid w:val="00DF047F"/>
    <w:rsid w:val="00DF04DC"/>
    <w:rsid w:val="00DF06DF"/>
    <w:rsid w:val="00DF0746"/>
    <w:rsid w:val="00DF090E"/>
    <w:rsid w:val="00DF0DFF"/>
    <w:rsid w:val="00DF0E2F"/>
    <w:rsid w:val="00DF0F2D"/>
    <w:rsid w:val="00DF14FD"/>
    <w:rsid w:val="00DF150C"/>
    <w:rsid w:val="00DF15D1"/>
    <w:rsid w:val="00DF1FE8"/>
    <w:rsid w:val="00DF2900"/>
    <w:rsid w:val="00DF2A6B"/>
    <w:rsid w:val="00DF2A7E"/>
    <w:rsid w:val="00DF345F"/>
    <w:rsid w:val="00DF3BE1"/>
    <w:rsid w:val="00DF3E80"/>
    <w:rsid w:val="00DF43D2"/>
    <w:rsid w:val="00DF44B9"/>
    <w:rsid w:val="00DF45CA"/>
    <w:rsid w:val="00DF4B42"/>
    <w:rsid w:val="00DF4B81"/>
    <w:rsid w:val="00DF5260"/>
    <w:rsid w:val="00DF52F5"/>
    <w:rsid w:val="00DF5486"/>
    <w:rsid w:val="00DF55A5"/>
    <w:rsid w:val="00DF55D8"/>
    <w:rsid w:val="00DF56CE"/>
    <w:rsid w:val="00DF5A43"/>
    <w:rsid w:val="00DF5D97"/>
    <w:rsid w:val="00DF617D"/>
    <w:rsid w:val="00DF6260"/>
    <w:rsid w:val="00DF62C0"/>
    <w:rsid w:val="00DF62FD"/>
    <w:rsid w:val="00DF6339"/>
    <w:rsid w:val="00DF6793"/>
    <w:rsid w:val="00DF6AE2"/>
    <w:rsid w:val="00DF6BD8"/>
    <w:rsid w:val="00DF6BE6"/>
    <w:rsid w:val="00DF6C29"/>
    <w:rsid w:val="00DF6E8F"/>
    <w:rsid w:val="00DF6F5F"/>
    <w:rsid w:val="00DF71A6"/>
    <w:rsid w:val="00DF71AF"/>
    <w:rsid w:val="00DF733B"/>
    <w:rsid w:val="00DF74F6"/>
    <w:rsid w:val="00DF754F"/>
    <w:rsid w:val="00DF7934"/>
    <w:rsid w:val="00DF79A8"/>
    <w:rsid w:val="00DF7ABD"/>
    <w:rsid w:val="00DF7BBD"/>
    <w:rsid w:val="00DF7FCD"/>
    <w:rsid w:val="00E0009C"/>
    <w:rsid w:val="00E005D2"/>
    <w:rsid w:val="00E00A64"/>
    <w:rsid w:val="00E023E6"/>
    <w:rsid w:val="00E02659"/>
    <w:rsid w:val="00E026F2"/>
    <w:rsid w:val="00E0273E"/>
    <w:rsid w:val="00E02A85"/>
    <w:rsid w:val="00E02FEC"/>
    <w:rsid w:val="00E0312E"/>
    <w:rsid w:val="00E034B9"/>
    <w:rsid w:val="00E0367E"/>
    <w:rsid w:val="00E040A0"/>
    <w:rsid w:val="00E04128"/>
    <w:rsid w:val="00E04574"/>
    <w:rsid w:val="00E04A1F"/>
    <w:rsid w:val="00E04FC2"/>
    <w:rsid w:val="00E050FA"/>
    <w:rsid w:val="00E051F4"/>
    <w:rsid w:val="00E052E0"/>
    <w:rsid w:val="00E05646"/>
    <w:rsid w:val="00E05B2A"/>
    <w:rsid w:val="00E05C5D"/>
    <w:rsid w:val="00E0611E"/>
    <w:rsid w:val="00E06376"/>
    <w:rsid w:val="00E0644B"/>
    <w:rsid w:val="00E068C9"/>
    <w:rsid w:val="00E0696E"/>
    <w:rsid w:val="00E06979"/>
    <w:rsid w:val="00E06CF6"/>
    <w:rsid w:val="00E06FB8"/>
    <w:rsid w:val="00E071DF"/>
    <w:rsid w:val="00E07913"/>
    <w:rsid w:val="00E07B2A"/>
    <w:rsid w:val="00E10595"/>
    <w:rsid w:val="00E10E8E"/>
    <w:rsid w:val="00E113AD"/>
    <w:rsid w:val="00E1145C"/>
    <w:rsid w:val="00E11A9A"/>
    <w:rsid w:val="00E11C57"/>
    <w:rsid w:val="00E11D33"/>
    <w:rsid w:val="00E12E85"/>
    <w:rsid w:val="00E12EBB"/>
    <w:rsid w:val="00E12FDD"/>
    <w:rsid w:val="00E132AB"/>
    <w:rsid w:val="00E138D4"/>
    <w:rsid w:val="00E13AEF"/>
    <w:rsid w:val="00E13C84"/>
    <w:rsid w:val="00E13EFD"/>
    <w:rsid w:val="00E14640"/>
    <w:rsid w:val="00E14EAE"/>
    <w:rsid w:val="00E15866"/>
    <w:rsid w:val="00E15874"/>
    <w:rsid w:val="00E15FDD"/>
    <w:rsid w:val="00E1618D"/>
    <w:rsid w:val="00E166DC"/>
    <w:rsid w:val="00E171D4"/>
    <w:rsid w:val="00E17230"/>
    <w:rsid w:val="00E17237"/>
    <w:rsid w:val="00E17287"/>
    <w:rsid w:val="00E174D3"/>
    <w:rsid w:val="00E17D77"/>
    <w:rsid w:val="00E20EFB"/>
    <w:rsid w:val="00E21242"/>
    <w:rsid w:val="00E218A3"/>
    <w:rsid w:val="00E21923"/>
    <w:rsid w:val="00E21F50"/>
    <w:rsid w:val="00E223AE"/>
    <w:rsid w:val="00E226AC"/>
    <w:rsid w:val="00E22759"/>
    <w:rsid w:val="00E22E3D"/>
    <w:rsid w:val="00E22F75"/>
    <w:rsid w:val="00E23461"/>
    <w:rsid w:val="00E2348D"/>
    <w:rsid w:val="00E23F3A"/>
    <w:rsid w:val="00E24B43"/>
    <w:rsid w:val="00E257FD"/>
    <w:rsid w:val="00E2582F"/>
    <w:rsid w:val="00E25841"/>
    <w:rsid w:val="00E25912"/>
    <w:rsid w:val="00E25C33"/>
    <w:rsid w:val="00E25C67"/>
    <w:rsid w:val="00E261F0"/>
    <w:rsid w:val="00E262B5"/>
    <w:rsid w:val="00E26601"/>
    <w:rsid w:val="00E26624"/>
    <w:rsid w:val="00E2662E"/>
    <w:rsid w:val="00E26839"/>
    <w:rsid w:val="00E26913"/>
    <w:rsid w:val="00E26A45"/>
    <w:rsid w:val="00E26C23"/>
    <w:rsid w:val="00E26CA4"/>
    <w:rsid w:val="00E26DA9"/>
    <w:rsid w:val="00E27409"/>
    <w:rsid w:val="00E27543"/>
    <w:rsid w:val="00E27BBB"/>
    <w:rsid w:val="00E27EE8"/>
    <w:rsid w:val="00E30306"/>
    <w:rsid w:val="00E30710"/>
    <w:rsid w:val="00E30996"/>
    <w:rsid w:val="00E30EAC"/>
    <w:rsid w:val="00E3209B"/>
    <w:rsid w:val="00E32305"/>
    <w:rsid w:val="00E323F8"/>
    <w:rsid w:val="00E323FC"/>
    <w:rsid w:val="00E32534"/>
    <w:rsid w:val="00E32EF2"/>
    <w:rsid w:val="00E33150"/>
    <w:rsid w:val="00E3367B"/>
    <w:rsid w:val="00E336A1"/>
    <w:rsid w:val="00E3399B"/>
    <w:rsid w:val="00E33BBA"/>
    <w:rsid w:val="00E33DB0"/>
    <w:rsid w:val="00E33E52"/>
    <w:rsid w:val="00E33F25"/>
    <w:rsid w:val="00E34716"/>
    <w:rsid w:val="00E34757"/>
    <w:rsid w:val="00E34E01"/>
    <w:rsid w:val="00E34E64"/>
    <w:rsid w:val="00E34F60"/>
    <w:rsid w:val="00E3513E"/>
    <w:rsid w:val="00E3516C"/>
    <w:rsid w:val="00E3573F"/>
    <w:rsid w:val="00E357F0"/>
    <w:rsid w:val="00E36915"/>
    <w:rsid w:val="00E36959"/>
    <w:rsid w:val="00E36A14"/>
    <w:rsid w:val="00E371B1"/>
    <w:rsid w:val="00E37373"/>
    <w:rsid w:val="00E3744A"/>
    <w:rsid w:val="00E37573"/>
    <w:rsid w:val="00E3775F"/>
    <w:rsid w:val="00E37762"/>
    <w:rsid w:val="00E37968"/>
    <w:rsid w:val="00E413E1"/>
    <w:rsid w:val="00E415FE"/>
    <w:rsid w:val="00E41DD7"/>
    <w:rsid w:val="00E422CC"/>
    <w:rsid w:val="00E4341B"/>
    <w:rsid w:val="00E43C90"/>
    <w:rsid w:val="00E443E9"/>
    <w:rsid w:val="00E444BA"/>
    <w:rsid w:val="00E446A4"/>
    <w:rsid w:val="00E44A0B"/>
    <w:rsid w:val="00E45738"/>
    <w:rsid w:val="00E458F0"/>
    <w:rsid w:val="00E4592A"/>
    <w:rsid w:val="00E45CB2"/>
    <w:rsid w:val="00E45CBD"/>
    <w:rsid w:val="00E464BF"/>
    <w:rsid w:val="00E464D9"/>
    <w:rsid w:val="00E46DB1"/>
    <w:rsid w:val="00E472CB"/>
    <w:rsid w:val="00E477E1"/>
    <w:rsid w:val="00E479A9"/>
    <w:rsid w:val="00E504B8"/>
    <w:rsid w:val="00E505CC"/>
    <w:rsid w:val="00E508E6"/>
    <w:rsid w:val="00E50AD8"/>
    <w:rsid w:val="00E50B74"/>
    <w:rsid w:val="00E5128E"/>
    <w:rsid w:val="00E51645"/>
    <w:rsid w:val="00E51E37"/>
    <w:rsid w:val="00E51FAD"/>
    <w:rsid w:val="00E521AC"/>
    <w:rsid w:val="00E52894"/>
    <w:rsid w:val="00E52990"/>
    <w:rsid w:val="00E53178"/>
    <w:rsid w:val="00E53922"/>
    <w:rsid w:val="00E53F3F"/>
    <w:rsid w:val="00E54094"/>
    <w:rsid w:val="00E542FE"/>
    <w:rsid w:val="00E55082"/>
    <w:rsid w:val="00E55351"/>
    <w:rsid w:val="00E554D0"/>
    <w:rsid w:val="00E55DFD"/>
    <w:rsid w:val="00E5608E"/>
    <w:rsid w:val="00E56665"/>
    <w:rsid w:val="00E5681B"/>
    <w:rsid w:val="00E56843"/>
    <w:rsid w:val="00E56AB1"/>
    <w:rsid w:val="00E56B5B"/>
    <w:rsid w:val="00E56DC7"/>
    <w:rsid w:val="00E56E17"/>
    <w:rsid w:val="00E56E27"/>
    <w:rsid w:val="00E57160"/>
    <w:rsid w:val="00E5749E"/>
    <w:rsid w:val="00E577E1"/>
    <w:rsid w:val="00E578DF"/>
    <w:rsid w:val="00E57A41"/>
    <w:rsid w:val="00E57B0B"/>
    <w:rsid w:val="00E57C19"/>
    <w:rsid w:val="00E57C97"/>
    <w:rsid w:val="00E60021"/>
    <w:rsid w:val="00E601CF"/>
    <w:rsid w:val="00E6053D"/>
    <w:rsid w:val="00E6062F"/>
    <w:rsid w:val="00E608E5"/>
    <w:rsid w:val="00E60F49"/>
    <w:rsid w:val="00E612C3"/>
    <w:rsid w:val="00E61C84"/>
    <w:rsid w:val="00E620B2"/>
    <w:rsid w:val="00E622A6"/>
    <w:rsid w:val="00E623D7"/>
    <w:rsid w:val="00E62B49"/>
    <w:rsid w:val="00E62BB8"/>
    <w:rsid w:val="00E62D01"/>
    <w:rsid w:val="00E63223"/>
    <w:rsid w:val="00E63408"/>
    <w:rsid w:val="00E63A50"/>
    <w:rsid w:val="00E63A99"/>
    <w:rsid w:val="00E64845"/>
    <w:rsid w:val="00E6597B"/>
    <w:rsid w:val="00E65984"/>
    <w:rsid w:val="00E65C81"/>
    <w:rsid w:val="00E65ED0"/>
    <w:rsid w:val="00E66557"/>
    <w:rsid w:val="00E666F2"/>
    <w:rsid w:val="00E66851"/>
    <w:rsid w:val="00E66A3A"/>
    <w:rsid w:val="00E66AB2"/>
    <w:rsid w:val="00E66DFC"/>
    <w:rsid w:val="00E66F57"/>
    <w:rsid w:val="00E671D3"/>
    <w:rsid w:val="00E673A7"/>
    <w:rsid w:val="00E674B9"/>
    <w:rsid w:val="00E678A3"/>
    <w:rsid w:val="00E67FD8"/>
    <w:rsid w:val="00E7008B"/>
    <w:rsid w:val="00E70192"/>
    <w:rsid w:val="00E70576"/>
    <w:rsid w:val="00E70895"/>
    <w:rsid w:val="00E708CA"/>
    <w:rsid w:val="00E708DB"/>
    <w:rsid w:val="00E71145"/>
    <w:rsid w:val="00E71394"/>
    <w:rsid w:val="00E714C1"/>
    <w:rsid w:val="00E715A3"/>
    <w:rsid w:val="00E71752"/>
    <w:rsid w:val="00E71BCA"/>
    <w:rsid w:val="00E71CBF"/>
    <w:rsid w:val="00E723B3"/>
    <w:rsid w:val="00E73057"/>
    <w:rsid w:val="00E732D9"/>
    <w:rsid w:val="00E73352"/>
    <w:rsid w:val="00E73566"/>
    <w:rsid w:val="00E73AF2"/>
    <w:rsid w:val="00E73F31"/>
    <w:rsid w:val="00E741D9"/>
    <w:rsid w:val="00E743ED"/>
    <w:rsid w:val="00E7442E"/>
    <w:rsid w:val="00E74832"/>
    <w:rsid w:val="00E74ABF"/>
    <w:rsid w:val="00E74EBE"/>
    <w:rsid w:val="00E74ED4"/>
    <w:rsid w:val="00E75036"/>
    <w:rsid w:val="00E75188"/>
    <w:rsid w:val="00E7527A"/>
    <w:rsid w:val="00E75841"/>
    <w:rsid w:val="00E7584E"/>
    <w:rsid w:val="00E763B5"/>
    <w:rsid w:val="00E766C1"/>
    <w:rsid w:val="00E7674C"/>
    <w:rsid w:val="00E76C52"/>
    <w:rsid w:val="00E76D6D"/>
    <w:rsid w:val="00E77208"/>
    <w:rsid w:val="00E7763D"/>
    <w:rsid w:val="00E7765D"/>
    <w:rsid w:val="00E77742"/>
    <w:rsid w:val="00E7784A"/>
    <w:rsid w:val="00E7794C"/>
    <w:rsid w:val="00E77CB0"/>
    <w:rsid w:val="00E77E33"/>
    <w:rsid w:val="00E801A3"/>
    <w:rsid w:val="00E807CA"/>
    <w:rsid w:val="00E80AB9"/>
    <w:rsid w:val="00E80DBE"/>
    <w:rsid w:val="00E816B3"/>
    <w:rsid w:val="00E81A17"/>
    <w:rsid w:val="00E81BEB"/>
    <w:rsid w:val="00E82130"/>
    <w:rsid w:val="00E82C16"/>
    <w:rsid w:val="00E82DAB"/>
    <w:rsid w:val="00E83279"/>
    <w:rsid w:val="00E83315"/>
    <w:rsid w:val="00E83346"/>
    <w:rsid w:val="00E835A2"/>
    <w:rsid w:val="00E83786"/>
    <w:rsid w:val="00E83A76"/>
    <w:rsid w:val="00E83E7B"/>
    <w:rsid w:val="00E84104"/>
    <w:rsid w:val="00E84728"/>
    <w:rsid w:val="00E848D5"/>
    <w:rsid w:val="00E849CD"/>
    <w:rsid w:val="00E84AD3"/>
    <w:rsid w:val="00E84B83"/>
    <w:rsid w:val="00E84D91"/>
    <w:rsid w:val="00E84F5C"/>
    <w:rsid w:val="00E8500C"/>
    <w:rsid w:val="00E85A01"/>
    <w:rsid w:val="00E85B04"/>
    <w:rsid w:val="00E86305"/>
    <w:rsid w:val="00E86F63"/>
    <w:rsid w:val="00E87521"/>
    <w:rsid w:val="00E87581"/>
    <w:rsid w:val="00E875D5"/>
    <w:rsid w:val="00E875F3"/>
    <w:rsid w:val="00E87643"/>
    <w:rsid w:val="00E9084B"/>
    <w:rsid w:val="00E90E6E"/>
    <w:rsid w:val="00E915D1"/>
    <w:rsid w:val="00E91943"/>
    <w:rsid w:val="00E91AE4"/>
    <w:rsid w:val="00E91C44"/>
    <w:rsid w:val="00E91C51"/>
    <w:rsid w:val="00E92330"/>
    <w:rsid w:val="00E9266F"/>
    <w:rsid w:val="00E9271F"/>
    <w:rsid w:val="00E92988"/>
    <w:rsid w:val="00E92F07"/>
    <w:rsid w:val="00E9315B"/>
    <w:rsid w:val="00E939A1"/>
    <w:rsid w:val="00E94861"/>
    <w:rsid w:val="00E949D1"/>
    <w:rsid w:val="00E94EE5"/>
    <w:rsid w:val="00E94F20"/>
    <w:rsid w:val="00E94F7A"/>
    <w:rsid w:val="00E951A6"/>
    <w:rsid w:val="00E95304"/>
    <w:rsid w:val="00E956EB"/>
    <w:rsid w:val="00E958B3"/>
    <w:rsid w:val="00E958D7"/>
    <w:rsid w:val="00E96060"/>
    <w:rsid w:val="00E9629C"/>
    <w:rsid w:val="00E9664D"/>
    <w:rsid w:val="00E96715"/>
    <w:rsid w:val="00E967FF"/>
    <w:rsid w:val="00E96F11"/>
    <w:rsid w:val="00E970AF"/>
    <w:rsid w:val="00E97A71"/>
    <w:rsid w:val="00E97AD1"/>
    <w:rsid w:val="00E97B67"/>
    <w:rsid w:val="00E97C8F"/>
    <w:rsid w:val="00E97D9B"/>
    <w:rsid w:val="00EA0107"/>
    <w:rsid w:val="00EA096C"/>
    <w:rsid w:val="00EA0AD0"/>
    <w:rsid w:val="00EA0D51"/>
    <w:rsid w:val="00EA16AF"/>
    <w:rsid w:val="00EA1AEE"/>
    <w:rsid w:val="00EA1BC1"/>
    <w:rsid w:val="00EA2164"/>
    <w:rsid w:val="00EA241C"/>
    <w:rsid w:val="00EA2BAB"/>
    <w:rsid w:val="00EA2BBA"/>
    <w:rsid w:val="00EA2D98"/>
    <w:rsid w:val="00EA2E4A"/>
    <w:rsid w:val="00EA2E8A"/>
    <w:rsid w:val="00EA2EBB"/>
    <w:rsid w:val="00EA2FAC"/>
    <w:rsid w:val="00EA3321"/>
    <w:rsid w:val="00EA347B"/>
    <w:rsid w:val="00EA3C9B"/>
    <w:rsid w:val="00EA478A"/>
    <w:rsid w:val="00EA4BCF"/>
    <w:rsid w:val="00EA4BE4"/>
    <w:rsid w:val="00EA4F16"/>
    <w:rsid w:val="00EA5035"/>
    <w:rsid w:val="00EA54AD"/>
    <w:rsid w:val="00EA55EF"/>
    <w:rsid w:val="00EA5712"/>
    <w:rsid w:val="00EA5BE0"/>
    <w:rsid w:val="00EA5D72"/>
    <w:rsid w:val="00EA5E03"/>
    <w:rsid w:val="00EA616C"/>
    <w:rsid w:val="00EA62D6"/>
    <w:rsid w:val="00EA66AC"/>
    <w:rsid w:val="00EA7071"/>
    <w:rsid w:val="00EA74C3"/>
    <w:rsid w:val="00EA75A4"/>
    <w:rsid w:val="00EA788C"/>
    <w:rsid w:val="00EA7995"/>
    <w:rsid w:val="00EB033D"/>
    <w:rsid w:val="00EB0500"/>
    <w:rsid w:val="00EB077E"/>
    <w:rsid w:val="00EB0EC9"/>
    <w:rsid w:val="00EB123D"/>
    <w:rsid w:val="00EB123F"/>
    <w:rsid w:val="00EB129F"/>
    <w:rsid w:val="00EB13E0"/>
    <w:rsid w:val="00EB142D"/>
    <w:rsid w:val="00EB1692"/>
    <w:rsid w:val="00EB1E05"/>
    <w:rsid w:val="00EB1FD1"/>
    <w:rsid w:val="00EB203E"/>
    <w:rsid w:val="00EB21D8"/>
    <w:rsid w:val="00EB2280"/>
    <w:rsid w:val="00EB2368"/>
    <w:rsid w:val="00EB2632"/>
    <w:rsid w:val="00EB2667"/>
    <w:rsid w:val="00EB26F8"/>
    <w:rsid w:val="00EB2B49"/>
    <w:rsid w:val="00EB2C39"/>
    <w:rsid w:val="00EB2D35"/>
    <w:rsid w:val="00EB2D84"/>
    <w:rsid w:val="00EB3296"/>
    <w:rsid w:val="00EB33CD"/>
    <w:rsid w:val="00EB34EC"/>
    <w:rsid w:val="00EB3793"/>
    <w:rsid w:val="00EB3F6B"/>
    <w:rsid w:val="00EB417A"/>
    <w:rsid w:val="00EB4559"/>
    <w:rsid w:val="00EB49E3"/>
    <w:rsid w:val="00EB4B25"/>
    <w:rsid w:val="00EB4C28"/>
    <w:rsid w:val="00EB4D7E"/>
    <w:rsid w:val="00EB5395"/>
    <w:rsid w:val="00EB5735"/>
    <w:rsid w:val="00EB58E1"/>
    <w:rsid w:val="00EB5E8D"/>
    <w:rsid w:val="00EB5F5F"/>
    <w:rsid w:val="00EB6013"/>
    <w:rsid w:val="00EB6405"/>
    <w:rsid w:val="00EB65F9"/>
    <w:rsid w:val="00EB67DF"/>
    <w:rsid w:val="00EB69DB"/>
    <w:rsid w:val="00EB6A8E"/>
    <w:rsid w:val="00EB6D47"/>
    <w:rsid w:val="00EB6F21"/>
    <w:rsid w:val="00EB7C58"/>
    <w:rsid w:val="00EC006F"/>
    <w:rsid w:val="00EC0100"/>
    <w:rsid w:val="00EC0286"/>
    <w:rsid w:val="00EC061E"/>
    <w:rsid w:val="00EC098B"/>
    <w:rsid w:val="00EC0B5B"/>
    <w:rsid w:val="00EC0C00"/>
    <w:rsid w:val="00EC1414"/>
    <w:rsid w:val="00EC173C"/>
    <w:rsid w:val="00EC1985"/>
    <w:rsid w:val="00EC1D94"/>
    <w:rsid w:val="00EC2349"/>
    <w:rsid w:val="00EC2512"/>
    <w:rsid w:val="00EC253F"/>
    <w:rsid w:val="00EC25C8"/>
    <w:rsid w:val="00EC26EC"/>
    <w:rsid w:val="00EC277A"/>
    <w:rsid w:val="00EC2BA9"/>
    <w:rsid w:val="00EC30E0"/>
    <w:rsid w:val="00EC32F7"/>
    <w:rsid w:val="00EC3973"/>
    <w:rsid w:val="00EC3B6A"/>
    <w:rsid w:val="00EC4209"/>
    <w:rsid w:val="00EC43F1"/>
    <w:rsid w:val="00EC4508"/>
    <w:rsid w:val="00EC46DB"/>
    <w:rsid w:val="00EC4E8C"/>
    <w:rsid w:val="00EC4EC8"/>
    <w:rsid w:val="00EC4F6D"/>
    <w:rsid w:val="00EC50F4"/>
    <w:rsid w:val="00EC58E3"/>
    <w:rsid w:val="00EC5BD8"/>
    <w:rsid w:val="00EC5CAF"/>
    <w:rsid w:val="00EC5DE7"/>
    <w:rsid w:val="00EC5FFF"/>
    <w:rsid w:val="00EC6176"/>
    <w:rsid w:val="00EC6272"/>
    <w:rsid w:val="00EC632C"/>
    <w:rsid w:val="00EC64F3"/>
    <w:rsid w:val="00EC664E"/>
    <w:rsid w:val="00EC66F6"/>
    <w:rsid w:val="00EC67D0"/>
    <w:rsid w:val="00EC6809"/>
    <w:rsid w:val="00EC6C9E"/>
    <w:rsid w:val="00EC6CFB"/>
    <w:rsid w:val="00EC71FF"/>
    <w:rsid w:val="00EC736B"/>
    <w:rsid w:val="00EC751F"/>
    <w:rsid w:val="00EC75BB"/>
    <w:rsid w:val="00EC7955"/>
    <w:rsid w:val="00ED067F"/>
    <w:rsid w:val="00ED0B19"/>
    <w:rsid w:val="00ED0F80"/>
    <w:rsid w:val="00ED0FDD"/>
    <w:rsid w:val="00ED124F"/>
    <w:rsid w:val="00ED1930"/>
    <w:rsid w:val="00ED25CA"/>
    <w:rsid w:val="00ED26D1"/>
    <w:rsid w:val="00ED2811"/>
    <w:rsid w:val="00ED295B"/>
    <w:rsid w:val="00ED305C"/>
    <w:rsid w:val="00ED3322"/>
    <w:rsid w:val="00ED3D20"/>
    <w:rsid w:val="00ED3F5C"/>
    <w:rsid w:val="00ED41D2"/>
    <w:rsid w:val="00ED5562"/>
    <w:rsid w:val="00ED58BF"/>
    <w:rsid w:val="00ED5A7B"/>
    <w:rsid w:val="00ED5ADD"/>
    <w:rsid w:val="00ED5C08"/>
    <w:rsid w:val="00ED6171"/>
    <w:rsid w:val="00ED6378"/>
    <w:rsid w:val="00ED6CA5"/>
    <w:rsid w:val="00ED7188"/>
    <w:rsid w:val="00ED7379"/>
    <w:rsid w:val="00ED773E"/>
    <w:rsid w:val="00ED7A6B"/>
    <w:rsid w:val="00ED7B70"/>
    <w:rsid w:val="00EE1773"/>
    <w:rsid w:val="00EE19B5"/>
    <w:rsid w:val="00EE2062"/>
    <w:rsid w:val="00EE21FD"/>
    <w:rsid w:val="00EE264D"/>
    <w:rsid w:val="00EE2F65"/>
    <w:rsid w:val="00EE2FBD"/>
    <w:rsid w:val="00EE3428"/>
    <w:rsid w:val="00EE3536"/>
    <w:rsid w:val="00EE363A"/>
    <w:rsid w:val="00EE3895"/>
    <w:rsid w:val="00EE3AAB"/>
    <w:rsid w:val="00EE3BBC"/>
    <w:rsid w:val="00EE3D21"/>
    <w:rsid w:val="00EE4064"/>
    <w:rsid w:val="00EE4170"/>
    <w:rsid w:val="00EE4480"/>
    <w:rsid w:val="00EE489C"/>
    <w:rsid w:val="00EE49EA"/>
    <w:rsid w:val="00EE4CDF"/>
    <w:rsid w:val="00EE4D5D"/>
    <w:rsid w:val="00EE554C"/>
    <w:rsid w:val="00EE558D"/>
    <w:rsid w:val="00EE560F"/>
    <w:rsid w:val="00EE576D"/>
    <w:rsid w:val="00EE5D20"/>
    <w:rsid w:val="00EE67C5"/>
    <w:rsid w:val="00EE6889"/>
    <w:rsid w:val="00EE6AB4"/>
    <w:rsid w:val="00EE6D56"/>
    <w:rsid w:val="00EE6E8D"/>
    <w:rsid w:val="00EE798B"/>
    <w:rsid w:val="00EE7F8A"/>
    <w:rsid w:val="00EF0150"/>
    <w:rsid w:val="00EF01E5"/>
    <w:rsid w:val="00EF0219"/>
    <w:rsid w:val="00EF072B"/>
    <w:rsid w:val="00EF1D06"/>
    <w:rsid w:val="00EF2170"/>
    <w:rsid w:val="00EF2807"/>
    <w:rsid w:val="00EF29E0"/>
    <w:rsid w:val="00EF2B18"/>
    <w:rsid w:val="00EF2D2E"/>
    <w:rsid w:val="00EF309C"/>
    <w:rsid w:val="00EF3349"/>
    <w:rsid w:val="00EF336A"/>
    <w:rsid w:val="00EF3804"/>
    <w:rsid w:val="00EF3EC2"/>
    <w:rsid w:val="00EF3F10"/>
    <w:rsid w:val="00EF42BE"/>
    <w:rsid w:val="00EF4465"/>
    <w:rsid w:val="00EF4686"/>
    <w:rsid w:val="00EF493F"/>
    <w:rsid w:val="00EF49C1"/>
    <w:rsid w:val="00EF4AD7"/>
    <w:rsid w:val="00EF4CB5"/>
    <w:rsid w:val="00EF537E"/>
    <w:rsid w:val="00EF584C"/>
    <w:rsid w:val="00EF62C7"/>
    <w:rsid w:val="00EF6679"/>
    <w:rsid w:val="00EF6713"/>
    <w:rsid w:val="00EF6D60"/>
    <w:rsid w:val="00EF7134"/>
    <w:rsid w:val="00F00397"/>
    <w:rsid w:val="00F0066B"/>
    <w:rsid w:val="00F009F1"/>
    <w:rsid w:val="00F00D5D"/>
    <w:rsid w:val="00F00E82"/>
    <w:rsid w:val="00F01993"/>
    <w:rsid w:val="00F01F09"/>
    <w:rsid w:val="00F02171"/>
    <w:rsid w:val="00F02237"/>
    <w:rsid w:val="00F02409"/>
    <w:rsid w:val="00F02AE7"/>
    <w:rsid w:val="00F02C38"/>
    <w:rsid w:val="00F02EA9"/>
    <w:rsid w:val="00F03487"/>
    <w:rsid w:val="00F03C28"/>
    <w:rsid w:val="00F0435F"/>
    <w:rsid w:val="00F04C11"/>
    <w:rsid w:val="00F05112"/>
    <w:rsid w:val="00F052A0"/>
    <w:rsid w:val="00F06043"/>
    <w:rsid w:val="00F06167"/>
    <w:rsid w:val="00F06315"/>
    <w:rsid w:val="00F06588"/>
    <w:rsid w:val="00F06CC4"/>
    <w:rsid w:val="00F06EB3"/>
    <w:rsid w:val="00F0725E"/>
    <w:rsid w:val="00F07564"/>
    <w:rsid w:val="00F07775"/>
    <w:rsid w:val="00F1016B"/>
    <w:rsid w:val="00F10736"/>
    <w:rsid w:val="00F10A28"/>
    <w:rsid w:val="00F10ABE"/>
    <w:rsid w:val="00F10ED1"/>
    <w:rsid w:val="00F113C0"/>
    <w:rsid w:val="00F119CC"/>
    <w:rsid w:val="00F11B91"/>
    <w:rsid w:val="00F1222C"/>
    <w:rsid w:val="00F12317"/>
    <w:rsid w:val="00F127A5"/>
    <w:rsid w:val="00F129EA"/>
    <w:rsid w:val="00F12CEA"/>
    <w:rsid w:val="00F12DB4"/>
    <w:rsid w:val="00F13157"/>
    <w:rsid w:val="00F133FA"/>
    <w:rsid w:val="00F13C3C"/>
    <w:rsid w:val="00F14CD0"/>
    <w:rsid w:val="00F150E5"/>
    <w:rsid w:val="00F150EB"/>
    <w:rsid w:val="00F16403"/>
    <w:rsid w:val="00F169B3"/>
    <w:rsid w:val="00F16F83"/>
    <w:rsid w:val="00F17175"/>
    <w:rsid w:val="00F17355"/>
    <w:rsid w:val="00F17486"/>
    <w:rsid w:val="00F17879"/>
    <w:rsid w:val="00F179CB"/>
    <w:rsid w:val="00F17BC6"/>
    <w:rsid w:val="00F17DA2"/>
    <w:rsid w:val="00F207FD"/>
    <w:rsid w:val="00F20852"/>
    <w:rsid w:val="00F20F8A"/>
    <w:rsid w:val="00F21898"/>
    <w:rsid w:val="00F21CDF"/>
    <w:rsid w:val="00F21D88"/>
    <w:rsid w:val="00F2288B"/>
    <w:rsid w:val="00F22F67"/>
    <w:rsid w:val="00F22FB0"/>
    <w:rsid w:val="00F22FE1"/>
    <w:rsid w:val="00F23183"/>
    <w:rsid w:val="00F234D4"/>
    <w:rsid w:val="00F239C8"/>
    <w:rsid w:val="00F23AF0"/>
    <w:rsid w:val="00F23C6F"/>
    <w:rsid w:val="00F2433A"/>
    <w:rsid w:val="00F248FD"/>
    <w:rsid w:val="00F2547D"/>
    <w:rsid w:val="00F25622"/>
    <w:rsid w:val="00F25B69"/>
    <w:rsid w:val="00F25BF8"/>
    <w:rsid w:val="00F2663A"/>
    <w:rsid w:val="00F27026"/>
    <w:rsid w:val="00F270BD"/>
    <w:rsid w:val="00F273C0"/>
    <w:rsid w:val="00F274F2"/>
    <w:rsid w:val="00F27679"/>
    <w:rsid w:val="00F27868"/>
    <w:rsid w:val="00F27C8B"/>
    <w:rsid w:val="00F27FFE"/>
    <w:rsid w:val="00F300BC"/>
    <w:rsid w:val="00F3044F"/>
    <w:rsid w:val="00F30514"/>
    <w:rsid w:val="00F31363"/>
    <w:rsid w:val="00F316BB"/>
    <w:rsid w:val="00F31FDE"/>
    <w:rsid w:val="00F32256"/>
    <w:rsid w:val="00F32A62"/>
    <w:rsid w:val="00F32ECF"/>
    <w:rsid w:val="00F32F0C"/>
    <w:rsid w:val="00F32F71"/>
    <w:rsid w:val="00F33536"/>
    <w:rsid w:val="00F33566"/>
    <w:rsid w:val="00F3400C"/>
    <w:rsid w:val="00F341AD"/>
    <w:rsid w:val="00F34BC4"/>
    <w:rsid w:val="00F34E56"/>
    <w:rsid w:val="00F35149"/>
    <w:rsid w:val="00F35254"/>
    <w:rsid w:val="00F35A46"/>
    <w:rsid w:val="00F35AF8"/>
    <w:rsid w:val="00F35D88"/>
    <w:rsid w:val="00F35F0A"/>
    <w:rsid w:val="00F364A2"/>
    <w:rsid w:val="00F364C9"/>
    <w:rsid w:val="00F367C6"/>
    <w:rsid w:val="00F368C1"/>
    <w:rsid w:val="00F36E6D"/>
    <w:rsid w:val="00F3702E"/>
    <w:rsid w:val="00F3720F"/>
    <w:rsid w:val="00F37342"/>
    <w:rsid w:val="00F37489"/>
    <w:rsid w:val="00F41102"/>
    <w:rsid w:val="00F41542"/>
    <w:rsid w:val="00F42695"/>
    <w:rsid w:val="00F42A7B"/>
    <w:rsid w:val="00F42C00"/>
    <w:rsid w:val="00F42F08"/>
    <w:rsid w:val="00F43D78"/>
    <w:rsid w:val="00F43E87"/>
    <w:rsid w:val="00F442A2"/>
    <w:rsid w:val="00F4461F"/>
    <w:rsid w:val="00F448F5"/>
    <w:rsid w:val="00F45E7A"/>
    <w:rsid w:val="00F4624E"/>
    <w:rsid w:val="00F4684B"/>
    <w:rsid w:val="00F46B1B"/>
    <w:rsid w:val="00F47432"/>
    <w:rsid w:val="00F478B1"/>
    <w:rsid w:val="00F47B0C"/>
    <w:rsid w:val="00F47D1E"/>
    <w:rsid w:val="00F509FD"/>
    <w:rsid w:val="00F51117"/>
    <w:rsid w:val="00F518DC"/>
    <w:rsid w:val="00F51B13"/>
    <w:rsid w:val="00F51FCC"/>
    <w:rsid w:val="00F52252"/>
    <w:rsid w:val="00F527C3"/>
    <w:rsid w:val="00F52805"/>
    <w:rsid w:val="00F52CC8"/>
    <w:rsid w:val="00F52E74"/>
    <w:rsid w:val="00F5311F"/>
    <w:rsid w:val="00F53A9E"/>
    <w:rsid w:val="00F53CF8"/>
    <w:rsid w:val="00F53D88"/>
    <w:rsid w:val="00F54057"/>
    <w:rsid w:val="00F55488"/>
    <w:rsid w:val="00F56034"/>
    <w:rsid w:val="00F5650E"/>
    <w:rsid w:val="00F568D5"/>
    <w:rsid w:val="00F5721F"/>
    <w:rsid w:val="00F5758E"/>
    <w:rsid w:val="00F5766D"/>
    <w:rsid w:val="00F5768E"/>
    <w:rsid w:val="00F57FD7"/>
    <w:rsid w:val="00F60968"/>
    <w:rsid w:val="00F60B31"/>
    <w:rsid w:val="00F615F7"/>
    <w:rsid w:val="00F61717"/>
    <w:rsid w:val="00F61AAF"/>
    <w:rsid w:val="00F61C12"/>
    <w:rsid w:val="00F622FD"/>
    <w:rsid w:val="00F623AD"/>
    <w:rsid w:val="00F629C9"/>
    <w:rsid w:val="00F63350"/>
    <w:rsid w:val="00F6344A"/>
    <w:rsid w:val="00F639AC"/>
    <w:rsid w:val="00F63BA1"/>
    <w:rsid w:val="00F64591"/>
    <w:rsid w:val="00F64746"/>
    <w:rsid w:val="00F647F6"/>
    <w:rsid w:val="00F64F30"/>
    <w:rsid w:val="00F665C2"/>
    <w:rsid w:val="00F6662A"/>
    <w:rsid w:val="00F666E5"/>
    <w:rsid w:val="00F66E9A"/>
    <w:rsid w:val="00F66FD7"/>
    <w:rsid w:val="00F67179"/>
    <w:rsid w:val="00F6738B"/>
    <w:rsid w:val="00F67A2E"/>
    <w:rsid w:val="00F67AE2"/>
    <w:rsid w:val="00F70085"/>
    <w:rsid w:val="00F704CD"/>
    <w:rsid w:val="00F70527"/>
    <w:rsid w:val="00F70659"/>
    <w:rsid w:val="00F70B22"/>
    <w:rsid w:val="00F70F76"/>
    <w:rsid w:val="00F7105C"/>
    <w:rsid w:val="00F717AD"/>
    <w:rsid w:val="00F72480"/>
    <w:rsid w:val="00F72661"/>
    <w:rsid w:val="00F72925"/>
    <w:rsid w:val="00F72A99"/>
    <w:rsid w:val="00F733D6"/>
    <w:rsid w:val="00F73BCE"/>
    <w:rsid w:val="00F73C31"/>
    <w:rsid w:val="00F73FD3"/>
    <w:rsid w:val="00F7427C"/>
    <w:rsid w:val="00F74417"/>
    <w:rsid w:val="00F74553"/>
    <w:rsid w:val="00F74629"/>
    <w:rsid w:val="00F74C1D"/>
    <w:rsid w:val="00F75072"/>
    <w:rsid w:val="00F755D4"/>
    <w:rsid w:val="00F756E0"/>
    <w:rsid w:val="00F7581D"/>
    <w:rsid w:val="00F75EF4"/>
    <w:rsid w:val="00F75F7B"/>
    <w:rsid w:val="00F75F99"/>
    <w:rsid w:val="00F7641A"/>
    <w:rsid w:val="00F766CD"/>
    <w:rsid w:val="00F769A9"/>
    <w:rsid w:val="00F77380"/>
    <w:rsid w:val="00F773E6"/>
    <w:rsid w:val="00F77B9E"/>
    <w:rsid w:val="00F800B9"/>
    <w:rsid w:val="00F801DA"/>
    <w:rsid w:val="00F801DC"/>
    <w:rsid w:val="00F80253"/>
    <w:rsid w:val="00F803BF"/>
    <w:rsid w:val="00F805F7"/>
    <w:rsid w:val="00F80757"/>
    <w:rsid w:val="00F807C7"/>
    <w:rsid w:val="00F80A3F"/>
    <w:rsid w:val="00F8202D"/>
    <w:rsid w:val="00F8227B"/>
    <w:rsid w:val="00F82397"/>
    <w:rsid w:val="00F826B0"/>
    <w:rsid w:val="00F82958"/>
    <w:rsid w:val="00F82A1A"/>
    <w:rsid w:val="00F8311C"/>
    <w:rsid w:val="00F836F1"/>
    <w:rsid w:val="00F8370A"/>
    <w:rsid w:val="00F83E86"/>
    <w:rsid w:val="00F84456"/>
    <w:rsid w:val="00F846D2"/>
    <w:rsid w:val="00F85099"/>
    <w:rsid w:val="00F85186"/>
    <w:rsid w:val="00F85571"/>
    <w:rsid w:val="00F86144"/>
    <w:rsid w:val="00F86488"/>
    <w:rsid w:val="00F86874"/>
    <w:rsid w:val="00F86997"/>
    <w:rsid w:val="00F870D2"/>
    <w:rsid w:val="00F87480"/>
    <w:rsid w:val="00F87897"/>
    <w:rsid w:val="00F87F13"/>
    <w:rsid w:val="00F900B8"/>
    <w:rsid w:val="00F90185"/>
    <w:rsid w:val="00F902CE"/>
    <w:rsid w:val="00F904E2"/>
    <w:rsid w:val="00F90907"/>
    <w:rsid w:val="00F90B98"/>
    <w:rsid w:val="00F90C2B"/>
    <w:rsid w:val="00F9120C"/>
    <w:rsid w:val="00F912B7"/>
    <w:rsid w:val="00F913C9"/>
    <w:rsid w:val="00F91850"/>
    <w:rsid w:val="00F91B7A"/>
    <w:rsid w:val="00F91BCF"/>
    <w:rsid w:val="00F91C07"/>
    <w:rsid w:val="00F91D4D"/>
    <w:rsid w:val="00F91ED3"/>
    <w:rsid w:val="00F921AA"/>
    <w:rsid w:val="00F927A5"/>
    <w:rsid w:val="00F92913"/>
    <w:rsid w:val="00F92AB1"/>
    <w:rsid w:val="00F93F59"/>
    <w:rsid w:val="00F940C3"/>
    <w:rsid w:val="00F94329"/>
    <w:rsid w:val="00F945F3"/>
    <w:rsid w:val="00F94A1D"/>
    <w:rsid w:val="00F94A2F"/>
    <w:rsid w:val="00F94D5E"/>
    <w:rsid w:val="00F94DE9"/>
    <w:rsid w:val="00F94E67"/>
    <w:rsid w:val="00F95469"/>
    <w:rsid w:val="00F95A33"/>
    <w:rsid w:val="00F95AAE"/>
    <w:rsid w:val="00F95C40"/>
    <w:rsid w:val="00F963CC"/>
    <w:rsid w:val="00F969F5"/>
    <w:rsid w:val="00F96D5C"/>
    <w:rsid w:val="00F97BAD"/>
    <w:rsid w:val="00F97C31"/>
    <w:rsid w:val="00F97E05"/>
    <w:rsid w:val="00FA03DB"/>
    <w:rsid w:val="00FA06A1"/>
    <w:rsid w:val="00FA0936"/>
    <w:rsid w:val="00FA0B8D"/>
    <w:rsid w:val="00FA122E"/>
    <w:rsid w:val="00FA1632"/>
    <w:rsid w:val="00FA1693"/>
    <w:rsid w:val="00FA17A0"/>
    <w:rsid w:val="00FA19A3"/>
    <w:rsid w:val="00FA1A86"/>
    <w:rsid w:val="00FA1AEA"/>
    <w:rsid w:val="00FA1D8D"/>
    <w:rsid w:val="00FA2130"/>
    <w:rsid w:val="00FA236C"/>
    <w:rsid w:val="00FA27C5"/>
    <w:rsid w:val="00FA28CD"/>
    <w:rsid w:val="00FA3767"/>
    <w:rsid w:val="00FA3B95"/>
    <w:rsid w:val="00FA3C62"/>
    <w:rsid w:val="00FA3D44"/>
    <w:rsid w:val="00FA42C5"/>
    <w:rsid w:val="00FA4A33"/>
    <w:rsid w:val="00FA4E53"/>
    <w:rsid w:val="00FA52FC"/>
    <w:rsid w:val="00FA5543"/>
    <w:rsid w:val="00FA6008"/>
    <w:rsid w:val="00FA6138"/>
    <w:rsid w:val="00FA6725"/>
    <w:rsid w:val="00FA6C97"/>
    <w:rsid w:val="00FB005A"/>
    <w:rsid w:val="00FB0448"/>
    <w:rsid w:val="00FB051D"/>
    <w:rsid w:val="00FB0BBE"/>
    <w:rsid w:val="00FB1C80"/>
    <w:rsid w:val="00FB204B"/>
    <w:rsid w:val="00FB247E"/>
    <w:rsid w:val="00FB2776"/>
    <w:rsid w:val="00FB27BB"/>
    <w:rsid w:val="00FB2BFD"/>
    <w:rsid w:val="00FB32B3"/>
    <w:rsid w:val="00FB3582"/>
    <w:rsid w:val="00FB3AC2"/>
    <w:rsid w:val="00FB3C2D"/>
    <w:rsid w:val="00FB3D03"/>
    <w:rsid w:val="00FB3E2E"/>
    <w:rsid w:val="00FB4720"/>
    <w:rsid w:val="00FB4ABF"/>
    <w:rsid w:val="00FB4B60"/>
    <w:rsid w:val="00FB4C1F"/>
    <w:rsid w:val="00FB4C8D"/>
    <w:rsid w:val="00FB4F56"/>
    <w:rsid w:val="00FB5A08"/>
    <w:rsid w:val="00FB68BF"/>
    <w:rsid w:val="00FB68E9"/>
    <w:rsid w:val="00FB6D97"/>
    <w:rsid w:val="00FB6DE8"/>
    <w:rsid w:val="00FB6F41"/>
    <w:rsid w:val="00FB723A"/>
    <w:rsid w:val="00FB734B"/>
    <w:rsid w:val="00FB7644"/>
    <w:rsid w:val="00FB7BEB"/>
    <w:rsid w:val="00FC025A"/>
    <w:rsid w:val="00FC02EB"/>
    <w:rsid w:val="00FC082E"/>
    <w:rsid w:val="00FC0968"/>
    <w:rsid w:val="00FC0DD3"/>
    <w:rsid w:val="00FC0EAC"/>
    <w:rsid w:val="00FC1D4F"/>
    <w:rsid w:val="00FC1DAF"/>
    <w:rsid w:val="00FC20B4"/>
    <w:rsid w:val="00FC2222"/>
    <w:rsid w:val="00FC31CC"/>
    <w:rsid w:val="00FC34C3"/>
    <w:rsid w:val="00FC3AD5"/>
    <w:rsid w:val="00FC3AD6"/>
    <w:rsid w:val="00FC42EA"/>
    <w:rsid w:val="00FC431E"/>
    <w:rsid w:val="00FC433C"/>
    <w:rsid w:val="00FC43B2"/>
    <w:rsid w:val="00FC43E7"/>
    <w:rsid w:val="00FC45E3"/>
    <w:rsid w:val="00FC47C5"/>
    <w:rsid w:val="00FC4864"/>
    <w:rsid w:val="00FC48DA"/>
    <w:rsid w:val="00FC4EB2"/>
    <w:rsid w:val="00FC56E3"/>
    <w:rsid w:val="00FC59E1"/>
    <w:rsid w:val="00FC5A64"/>
    <w:rsid w:val="00FC6170"/>
    <w:rsid w:val="00FC652E"/>
    <w:rsid w:val="00FC6E4D"/>
    <w:rsid w:val="00FC715C"/>
    <w:rsid w:val="00FC7A28"/>
    <w:rsid w:val="00FC7B4A"/>
    <w:rsid w:val="00FC7EEE"/>
    <w:rsid w:val="00FD0A06"/>
    <w:rsid w:val="00FD103A"/>
    <w:rsid w:val="00FD1236"/>
    <w:rsid w:val="00FD12F2"/>
    <w:rsid w:val="00FD1792"/>
    <w:rsid w:val="00FD19D4"/>
    <w:rsid w:val="00FD1A5E"/>
    <w:rsid w:val="00FD1AA3"/>
    <w:rsid w:val="00FD1F27"/>
    <w:rsid w:val="00FD20C9"/>
    <w:rsid w:val="00FD2205"/>
    <w:rsid w:val="00FD2376"/>
    <w:rsid w:val="00FD2730"/>
    <w:rsid w:val="00FD2950"/>
    <w:rsid w:val="00FD2A37"/>
    <w:rsid w:val="00FD2C00"/>
    <w:rsid w:val="00FD2C1A"/>
    <w:rsid w:val="00FD3185"/>
    <w:rsid w:val="00FD31AA"/>
    <w:rsid w:val="00FD353C"/>
    <w:rsid w:val="00FD3F59"/>
    <w:rsid w:val="00FD441E"/>
    <w:rsid w:val="00FD45F5"/>
    <w:rsid w:val="00FD4943"/>
    <w:rsid w:val="00FD499A"/>
    <w:rsid w:val="00FD4B00"/>
    <w:rsid w:val="00FD53E0"/>
    <w:rsid w:val="00FD5407"/>
    <w:rsid w:val="00FD541A"/>
    <w:rsid w:val="00FD55C9"/>
    <w:rsid w:val="00FD5783"/>
    <w:rsid w:val="00FD57E9"/>
    <w:rsid w:val="00FD5A95"/>
    <w:rsid w:val="00FD5B80"/>
    <w:rsid w:val="00FD5D77"/>
    <w:rsid w:val="00FD6635"/>
    <w:rsid w:val="00FD6C1A"/>
    <w:rsid w:val="00FD6C36"/>
    <w:rsid w:val="00FD6F2B"/>
    <w:rsid w:val="00FD724C"/>
    <w:rsid w:val="00FD725F"/>
    <w:rsid w:val="00FD7742"/>
    <w:rsid w:val="00FE0366"/>
    <w:rsid w:val="00FE07B1"/>
    <w:rsid w:val="00FE08D3"/>
    <w:rsid w:val="00FE0AE9"/>
    <w:rsid w:val="00FE0C8F"/>
    <w:rsid w:val="00FE0E71"/>
    <w:rsid w:val="00FE1319"/>
    <w:rsid w:val="00FE13AF"/>
    <w:rsid w:val="00FE1CB7"/>
    <w:rsid w:val="00FE2058"/>
    <w:rsid w:val="00FE23FA"/>
    <w:rsid w:val="00FE245A"/>
    <w:rsid w:val="00FE2735"/>
    <w:rsid w:val="00FE2A5D"/>
    <w:rsid w:val="00FE2A6A"/>
    <w:rsid w:val="00FE2B55"/>
    <w:rsid w:val="00FE2E1C"/>
    <w:rsid w:val="00FE2E5F"/>
    <w:rsid w:val="00FE367E"/>
    <w:rsid w:val="00FE3BBA"/>
    <w:rsid w:val="00FE4246"/>
    <w:rsid w:val="00FE4375"/>
    <w:rsid w:val="00FE4DC3"/>
    <w:rsid w:val="00FE4E96"/>
    <w:rsid w:val="00FE4FB2"/>
    <w:rsid w:val="00FE4FCA"/>
    <w:rsid w:val="00FE5386"/>
    <w:rsid w:val="00FE597C"/>
    <w:rsid w:val="00FE5DA7"/>
    <w:rsid w:val="00FE5E50"/>
    <w:rsid w:val="00FE6024"/>
    <w:rsid w:val="00FE604A"/>
    <w:rsid w:val="00FE65EC"/>
    <w:rsid w:val="00FE6A94"/>
    <w:rsid w:val="00FE6DE4"/>
    <w:rsid w:val="00FE7290"/>
    <w:rsid w:val="00FE7B38"/>
    <w:rsid w:val="00FF02CE"/>
    <w:rsid w:val="00FF12A9"/>
    <w:rsid w:val="00FF1722"/>
    <w:rsid w:val="00FF1854"/>
    <w:rsid w:val="00FF1980"/>
    <w:rsid w:val="00FF211A"/>
    <w:rsid w:val="00FF24EA"/>
    <w:rsid w:val="00FF2A70"/>
    <w:rsid w:val="00FF335E"/>
    <w:rsid w:val="00FF388B"/>
    <w:rsid w:val="00FF3A44"/>
    <w:rsid w:val="00FF418C"/>
    <w:rsid w:val="00FF42C3"/>
    <w:rsid w:val="00FF467A"/>
    <w:rsid w:val="00FF47A7"/>
    <w:rsid w:val="00FF4D3B"/>
    <w:rsid w:val="00FF5273"/>
    <w:rsid w:val="00FF53B7"/>
    <w:rsid w:val="00FF5695"/>
    <w:rsid w:val="00FF5713"/>
    <w:rsid w:val="00FF59F6"/>
    <w:rsid w:val="00FF5F37"/>
    <w:rsid w:val="00FF613C"/>
    <w:rsid w:val="00FF62FC"/>
    <w:rsid w:val="00FF6777"/>
    <w:rsid w:val="00FF67D6"/>
    <w:rsid w:val="00FF67D7"/>
    <w:rsid w:val="00FF7176"/>
    <w:rsid w:val="00FF7D82"/>
    <w:rsid w:val="00FF7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7A5F0"/>
  <w15:docId w15:val="{AF741D14-7C62-4FCC-8D41-5BF36260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8519F7"/>
    <w:pPr>
      <w:ind w:left="720"/>
      <w:contextualSpacing/>
    </w:pPr>
  </w:style>
  <w:style w:type="paragraph" w:styleId="Notedebasdepage">
    <w:name w:val="footnote text"/>
    <w:basedOn w:val="Normal"/>
    <w:link w:val="NotedebasdepageCar"/>
    <w:semiHidden/>
    <w:unhideWhenUsed/>
    <w:rsid w:val="005C55E7"/>
    <w:pPr>
      <w:spacing w:after="0" w:line="240" w:lineRule="auto"/>
    </w:pPr>
    <w:rPr>
      <w:sz w:val="20"/>
      <w:szCs w:val="20"/>
    </w:rPr>
  </w:style>
  <w:style w:type="character" w:customStyle="1" w:styleId="NotedebasdepageCar">
    <w:name w:val="Note de bas de page Car"/>
    <w:basedOn w:val="Policepardfaut"/>
    <w:link w:val="Notedebasdepage"/>
    <w:semiHidden/>
    <w:rsid w:val="005C55E7"/>
    <w:rPr>
      <w:sz w:val="20"/>
      <w:szCs w:val="20"/>
    </w:rPr>
  </w:style>
  <w:style w:type="character" w:styleId="Appelnotedebasdep">
    <w:name w:val="footnote reference"/>
    <w:basedOn w:val="Policepardfaut"/>
    <w:semiHidden/>
    <w:unhideWhenUsed/>
    <w:rsid w:val="005C55E7"/>
    <w:rPr>
      <w:vertAlign w:val="superscript"/>
    </w:rPr>
  </w:style>
  <w:style w:type="paragraph" w:styleId="En-tte">
    <w:name w:val="header"/>
    <w:basedOn w:val="Normal"/>
    <w:link w:val="En-tteCar"/>
    <w:uiPriority w:val="99"/>
    <w:unhideWhenUsed/>
    <w:rsid w:val="00B73174"/>
    <w:pPr>
      <w:tabs>
        <w:tab w:val="center" w:pos="4536"/>
        <w:tab w:val="right" w:pos="9072"/>
      </w:tabs>
      <w:spacing w:after="0" w:line="240" w:lineRule="auto"/>
    </w:pPr>
  </w:style>
  <w:style w:type="character" w:customStyle="1" w:styleId="En-tteCar">
    <w:name w:val="En-tête Car"/>
    <w:basedOn w:val="Policepardfaut"/>
    <w:link w:val="En-tte"/>
    <w:uiPriority w:val="99"/>
    <w:rsid w:val="00B73174"/>
  </w:style>
  <w:style w:type="paragraph" w:styleId="Pieddepage">
    <w:name w:val="footer"/>
    <w:basedOn w:val="Normal"/>
    <w:link w:val="PieddepageCar"/>
    <w:uiPriority w:val="99"/>
    <w:unhideWhenUsed/>
    <w:rsid w:val="00B731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174"/>
  </w:style>
  <w:style w:type="table" w:styleId="Grilledutableau">
    <w:name w:val="Table Grid"/>
    <w:basedOn w:val="TableauNormal"/>
    <w:rsid w:val="00356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E4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E2F"/>
    <w:rPr>
      <w:rFonts w:ascii="Segoe UI" w:hAnsi="Segoe UI" w:cs="Segoe UI"/>
      <w:sz w:val="18"/>
      <w:szCs w:val="18"/>
    </w:rPr>
  </w:style>
  <w:style w:type="character" w:styleId="Marquedecommentaire">
    <w:name w:val="annotation reference"/>
    <w:basedOn w:val="Policepardfaut"/>
    <w:uiPriority w:val="99"/>
    <w:semiHidden/>
    <w:unhideWhenUsed/>
    <w:rsid w:val="00701B5D"/>
    <w:rPr>
      <w:sz w:val="16"/>
      <w:szCs w:val="16"/>
    </w:rPr>
  </w:style>
  <w:style w:type="paragraph" w:styleId="Commentaire">
    <w:name w:val="annotation text"/>
    <w:basedOn w:val="Normal"/>
    <w:link w:val="CommentaireCar"/>
    <w:uiPriority w:val="99"/>
    <w:unhideWhenUsed/>
    <w:rsid w:val="00701B5D"/>
    <w:pPr>
      <w:spacing w:line="240" w:lineRule="auto"/>
    </w:pPr>
    <w:rPr>
      <w:sz w:val="20"/>
      <w:szCs w:val="20"/>
    </w:rPr>
  </w:style>
  <w:style w:type="character" w:customStyle="1" w:styleId="CommentaireCar">
    <w:name w:val="Commentaire Car"/>
    <w:basedOn w:val="Policepardfaut"/>
    <w:link w:val="Commentaire"/>
    <w:uiPriority w:val="99"/>
    <w:rsid w:val="00701B5D"/>
    <w:rPr>
      <w:sz w:val="20"/>
      <w:szCs w:val="20"/>
    </w:rPr>
  </w:style>
  <w:style w:type="paragraph" w:styleId="Objetducommentaire">
    <w:name w:val="annotation subject"/>
    <w:basedOn w:val="Commentaire"/>
    <w:next w:val="Commentaire"/>
    <w:link w:val="ObjetducommentaireCar"/>
    <w:uiPriority w:val="99"/>
    <w:semiHidden/>
    <w:unhideWhenUsed/>
    <w:rsid w:val="00701B5D"/>
    <w:rPr>
      <w:b/>
      <w:bCs/>
    </w:rPr>
  </w:style>
  <w:style w:type="character" w:customStyle="1" w:styleId="ObjetducommentaireCar">
    <w:name w:val="Objet du commentaire Car"/>
    <w:basedOn w:val="CommentaireCar"/>
    <w:link w:val="Objetducommentaire"/>
    <w:uiPriority w:val="99"/>
    <w:semiHidden/>
    <w:rsid w:val="00701B5D"/>
    <w:rPr>
      <w:b/>
      <w:bCs/>
      <w:sz w:val="20"/>
      <w:szCs w:val="20"/>
    </w:rPr>
  </w:style>
  <w:style w:type="paragraph" w:styleId="Sansinterligne">
    <w:name w:val="No Spacing"/>
    <w:uiPriority w:val="1"/>
    <w:qFormat/>
    <w:rsid w:val="00330C2D"/>
    <w:pPr>
      <w:spacing w:after="0" w:line="240" w:lineRule="auto"/>
    </w:pPr>
  </w:style>
  <w:style w:type="paragraph" w:styleId="NormalWeb">
    <w:name w:val="Normal (Web)"/>
    <w:basedOn w:val="Normal"/>
    <w:uiPriority w:val="99"/>
    <w:unhideWhenUsed/>
    <w:rsid w:val="00EF2D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7436BD"/>
    <w:pPr>
      <w:spacing w:after="0" w:line="240" w:lineRule="auto"/>
    </w:pPr>
  </w:style>
  <w:style w:type="table" w:customStyle="1" w:styleId="Grilledutableau1">
    <w:name w:val="Grille du tableau1"/>
    <w:basedOn w:val="TableauNormal"/>
    <w:next w:val="Grilledutableau"/>
    <w:rsid w:val="00EE56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5D0F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84603">
      <w:bodyDiv w:val="1"/>
      <w:marLeft w:val="0"/>
      <w:marRight w:val="0"/>
      <w:marTop w:val="0"/>
      <w:marBottom w:val="0"/>
      <w:divBdr>
        <w:top w:val="none" w:sz="0" w:space="0" w:color="auto"/>
        <w:left w:val="none" w:sz="0" w:space="0" w:color="auto"/>
        <w:bottom w:val="none" w:sz="0" w:space="0" w:color="auto"/>
        <w:right w:val="none" w:sz="0" w:space="0" w:color="auto"/>
      </w:divBdr>
    </w:div>
    <w:div w:id="189926077">
      <w:bodyDiv w:val="1"/>
      <w:marLeft w:val="0"/>
      <w:marRight w:val="0"/>
      <w:marTop w:val="0"/>
      <w:marBottom w:val="0"/>
      <w:divBdr>
        <w:top w:val="none" w:sz="0" w:space="0" w:color="auto"/>
        <w:left w:val="none" w:sz="0" w:space="0" w:color="auto"/>
        <w:bottom w:val="none" w:sz="0" w:space="0" w:color="auto"/>
        <w:right w:val="none" w:sz="0" w:space="0" w:color="auto"/>
      </w:divBdr>
    </w:div>
    <w:div w:id="337661294">
      <w:bodyDiv w:val="1"/>
      <w:marLeft w:val="0"/>
      <w:marRight w:val="0"/>
      <w:marTop w:val="0"/>
      <w:marBottom w:val="0"/>
      <w:divBdr>
        <w:top w:val="none" w:sz="0" w:space="0" w:color="auto"/>
        <w:left w:val="none" w:sz="0" w:space="0" w:color="auto"/>
        <w:bottom w:val="none" w:sz="0" w:space="0" w:color="auto"/>
        <w:right w:val="none" w:sz="0" w:space="0" w:color="auto"/>
      </w:divBdr>
    </w:div>
    <w:div w:id="405155061">
      <w:bodyDiv w:val="1"/>
      <w:marLeft w:val="0"/>
      <w:marRight w:val="0"/>
      <w:marTop w:val="0"/>
      <w:marBottom w:val="0"/>
      <w:divBdr>
        <w:top w:val="none" w:sz="0" w:space="0" w:color="auto"/>
        <w:left w:val="none" w:sz="0" w:space="0" w:color="auto"/>
        <w:bottom w:val="none" w:sz="0" w:space="0" w:color="auto"/>
        <w:right w:val="none" w:sz="0" w:space="0" w:color="auto"/>
      </w:divBdr>
    </w:div>
    <w:div w:id="420948733">
      <w:bodyDiv w:val="1"/>
      <w:marLeft w:val="0"/>
      <w:marRight w:val="0"/>
      <w:marTop w:val="0"/>
      <w:marBottom w:val="0"/>
      <w:divBdr>
        <w:top w:val="none" w:sz="0" w:space="0" w:color="auto"/>
        <w:left w:val="none" w:sz="0" w:space="0" w:color="auto"/>
        <w:bottom w:val="none" w:sz="0" w:space="0" w:color="auto"/>
        <w:right w:val="none" w:sz="0" w:space="0" w:color="auto"/>
      </w:divBdr>
    </w:div>
    <w:div w:id="463624510">
      <w:bodyDiv w:val="1"/>
      <w:marLeft w:val="0"/>
      <w:marRight w:val="0"/>
      <w:marTop w:val="0"/>
      <w:marBottom w:val="0"/>
      <w:divBdr>
        <w:top w:val="none" w:sz="0" w:space="0" w:color="auto"/>
        <w:left w:val="none" w:sz="0" w:space="0" w:color="auto"/>
        <w:bottom w:val="none" w:sz="0" w:space="0" w:color="auto"/>
        <w:right w:val="none" w:sz="0" w:space="0" w:color="auto"/>
      </w:divBdr>
    </w:div>
    <w:div w:id="511916732">
      <w:bodyDiv w:val="1"/>
      <w:marLeft w:val="0"/>
      <w:marRight w:val="0"/>
      <w:marTop w:val="0"/>
      <w:marBottom w:val="0"/>
      <w:divBdr>
        <w:top w:val="none" w:sz="0" w:space="0" w:color="auto"/>
        <w:left w:val="none" w:sz="0" w:space="0" w:color="auto"/>
        <w:bottom w:val="none" w:sz="0" w:space="0" w:color="auto"/>
        <w:right w:val="none" w:sz="0" w:space="0" w:color="auto"/>
      </w:divBdr>
    </w:div>
    <w:div w:id="543178889">
      <w:bodyDiv w:val="1"/>
      <w:marLeft w:val="0"/>
      <w:marRight w:val="0"/>
      <w:marTop w:val="0"/>
      <w:marBottom w:val="0"/>
      <w:divBdr>
        <w:top w:val="none" w:sz="0" w:space="0" w:color="auto"/>
        <w:left w:val="none" w:sz="0" w:space="0" w:color="auto"/>
        <w:bottom w:val="none" w:sz="0" w:space="0" w:color="auto"/>
        <w:right w:val="none" w:sz="0" w:space="0" w:color="auto"/>
      </w:divBdr>
    </w:div>
    <w:div w:id="714089145">
      <w:bodyDiv w:val="1"/>
      <w:marLeft w:val="0"/>
      <w:marRight w:val="0"/>
      <w:marTop w:val="0"/>
      <w:marBottom w:val="0"/>
      <w:divBdr>
        <w:top w:val="none" w:sz="0" w:space="0" w:color="auto"/>
        <w:left w:val="none" w:sz="0" w:space="0" w:color="auto"/>
        <w:bottom w:val="none" w:sz="0" w:space="0" w:color="auto"/>
        <w:right w:val="none" w:sz="0" w:space="0" w:color="auto"/>
      </w:divBdr>
    </w:div>
    <w:div w:id="743838442">
      <w:bodyDiv w:val="1"/>
      <w:marLeft w:val="0"/>
      <w:marRight w:val="0"/>
      <w:marTop w:val="0"/>
      <w:marBottom w:val="0"/>
      <w:divBdr>
        <w:top w:val="none" w:sz="0" w:space="0" w:color="auto"/>
        <w:left w:val="none" w:sz="0" w:space="0" w:color="auto"/>
        <w:bottom w:val="none" w:sz="0" w:space="0" w:color="auto"/>
        <w:right w:val="none" w:sz="0" w:space="0" w:color="auto"/>
      </w:divBdr>
    </w:div>
    <w:div w:id="792872439">
      <w:bodyDiv w:val="1"/>
      <w:marLeft w:val="0"/>
      <w:marRight w:val="0"/>
      <w:marTop w:val="0"/>
      <w:marBottom w:val="0"/>
      <w:divBdr>
        <w:top w:val="none" w:sz="0" w:space="0" w:color="auto"/>
        <w:left w:val="none" w:sz="0" w:space="0" w:color="auto"/>
        <w:bottom w:val="none" w:sz="0" w:space="0" w:color="auto"/>
        <w:right w:val="none" w:sz="0" w:space="0" w:color="auto"/>
      </w:divBdr>
    </w:div>
    <w:div w:id="813108659">
      <w:bodyDiv w:val="1"/>
      <w:marLeft w:val="0"/>
      <w:marRight w:val="0"/>
      <w:marTop w:val="0"/>
      <w:marBottom w:val="0"/>
      <w:divBdr>
        <w:top w:val="none" w:sz="0" w:space="0" w:color="auto"/>
        <w:left w:val="none" w:sz="0" w:space="0" w:color="auto"/>
        <w:bottom w:val="none" w:sz="0" w:space="0" w:color="auto"/>
        <w:right w:val="none" w:sz="0" w:space="0" w:color="auto"/>
      </w:divBdr>
    </w:div>
    <w:div w:id="847215704">
      <w:bodyDiv w:val="1"/>
      <w:marLeft w:val="0"/>
      <w:marRight w:val="0"/>
      <w:marTop w:val="0"/>
      <w:marBottom w:val="0"/>
      <w:divBdr>
        <w:top w:val="none" w:sz="0" w:space="0" w:color="auto"/>
        <w:left w:val="none" w:sz="0" w:space="0" w:color="auto"/>
        <w:bottom w:val="none" w:sz="0" w:space="0" w:color="auto"/>
        <w:right w:val="none" w:sz="0" w:space="0" w:color="auto"/>
      </w:divBdr>
    </w:div>
    <w:div w:id="872811121">
      <w:bodyDiv w:val="1"/>
      <w:marLeft w:val="0"/>
      <w:marRight w:val="0"/>
      <w:marTop w:val="0"/>
      <w:marBottom w:val="0"/>
      <w:divBdr>
        <w:top w:val="none" w:sz="0" w:space="0" w:color="auto"/>
        <w:left w:val="none" w:sz="0" w:space="0" w:color="auto"/>
        <w:bottom w:val="none" w:sz="0" w:space="0" w:color="auto"/>
        <w:right w:val="none" w:sz="0" w:space="0" w:color="auto"/>
      </w:divBdr>
    </w:div>
    <w:div w:id="879559834">
      <w:bodyDiv w:val="1"/>
      <w:marLeft w:val="0"/>
      <w:marRight w:val="0"/>
      <w:marTop w:val="0"/>
      <w:marBottom w:val="0"/>
      <w:divBdr>
        <w:top w:val="none" w:sz="0" w:space="0" w:color="auto"/>
        <w:left w:val="none" w:sz="0" w:space="0" w:color="auto"/>
        <w:bottom w:val="none" w:sz="0" w:space="0" w:color="auto"/>
        <w:right w:val="none" w:sz="0" w:space="0" w:color="auto"/>
      </w:divBdr>
    </w:div>
    <w:div w:id="1029182441">
      <w:bodyDiv w:val="1"/>
      <w:marLeft w:val="0"/>
      <w:marRight w:val="0"/>
      <w:marTop w:val="0"/>
      <w:marBottom w:val="0"/>
      <w:divBdr>
        <w:top w:val="none" w:sz="0" w:space="0" w:color="auto"/>
        <w:left w:val="none" w:sz="0" w:space="0" w:color="auto"/>
        <w:bottom w:val="none" w:sz="0" w:space="0" w:color="auto"/>
        <w:right w:val="none" w:sz="0" w:space="0" w:color="auto"/>
      </w:divBdr>
    </w:div>
    <w:div w:id="1041057473">
      <w:bodyDiv w:val="1"/>
      <w:marLeft w:val="0"/>
      <w:marRight w:val="0"/>
      <w:marTop w:val="0"/>
      <w:marBottom w:val="0"/>
      <w:divBdr>
        <w:top w:val="none" w:sz="0" w:space="0" w:color="auto"/>
        <w:left w:val="none" w:sz="0" w:space="0" w:color="auto"/>
        <w:bottom w:val="none" w:sz="0" w:space="0" w:color="auto"/>
        <w:right w:val="none" w:sz="0" w:space="0" w:color="auto"/>
      </w:divBdr>
    </w:div>
    <w:div w:id="1158616502">
      <w:bodyDiv w:val="1"/>
      <w:marLeft w:val="0"/>
      <w:marRight w:val="0"/>
      <w:marTop w:val="0"/>
      <w:marBottom w:val="0"/>
      <w:divBdr>
        <w:top w:val="none" w:sz="0" w:space="0" w:color="auto"/>
        <w:left w:val="none" w:sz="0" w:space="0" w:color="auto"/>
        <w:bottom w:val="none" w:sz="0" w:space="0" w:color="auto"/>
        <w:right w:val="none" w:sz="0" w:space="0" w:color="auto"/>
      </w:divBdr>
    </w:div>
    <w:div w:id="1196772933">
      <w:bodyDiv w:val="1"/>
      <w:marLeft w:val="0"/>
      <w:marRight w:val="0"/>
      <w:marTop w:val="0"/>
      <w:marBottom w:val="0"/>
      <w:divBdr>
        <w:top w:val="none" w:sz="0" w:space="0" w:color="auto"/>
        <w:left w:val="none" w:sz="0" w:space="0" w:color="auto"/>
        <w:bottom w:val="none" w:sz="0" w:space="0" w:color="auto"/>
        <w:right w:val="none" w:sz="0" w:space="0" w:color="auto"/>
      </w:divBdr>
    </w:div>
    <w:div w:id="1390305867">
      <w:bodyDiv w:val="1"/>
      <w:marLeft w:val="0"/>
      <w:marRight w:val="0"/>
      <w:marTop w:val="0"/>
      <w:marBottom w:val="0"/>
      <w:divBdr>
        <w:top w:val="none" w:sz="0" w:space="0" w:color="auto"/>
        <w:left w:val="none" w:sz="0" w:space="0" w:color="auto"/>
        <w:bottom w:val="none" w:sz="0" w:space="0" w:color="auto"/>
        <w:right w:val="none" w:sz="0" w:space="0" w:color="auto"/>
      </w:divBdr>
    </w:div>
    <w:div w:id="1422337247">
      <w:bodyDiv w:val="1"/>
      <w:marLeft w:val="0"/>
      <w:marRight w:val="0"/>
      <w:marTop w:val="0"/>
      <w:marBottom w:val="0"/>
      <w:divBdr>
        <w:top w:val="none" w:sz="0" w:space="0" w:color="auto"/>
        <w:left w:val="none" w:sz="0" w:space="0" w:color="auto"/>
        <w:bottom w:val="none" w:sz="0" w:space="0" w:color="auto"/>
        <w:right w:val="none" w:sz="0" w:space="0" w:color="auto"/>
      </w:divBdr>
    </w:div>
    <w:div w:id="1463570350">
      <w:bodyDiv w:val="1"/>
      <w:marLeft w:val="0"/>
      <w:marRight w:val="0"/>
      <w:marTop w:val="0"/>
      <w:marBottom w:val="0"/>
      <w:divBdr>
        <w:top w:val="none" w:sz="0" w:space="0" w:color="auto"/>
        <w:left w:val="none" w:sz="0" w:space="0" w:color="auto"/>
        <w:bottom w:val="none" w:sz="0" w:space="0" w:color="auto"/>
        <w:right w:val="none" w:sz="0" w:space="0" w:color="auto"/>
      </w:divBdr>
    </w:div>
    <w:div w:id="1545169871">
      <w:bodyDiv w:val="1"/>
      <w:marLeft w:val="0"/>
      <w:marRight w:val="0"/>
      <w:marTop w:val="0"/>
      <w:marBottom w:val="0"/>
      <w:divBdr>
        <w:top w:val="none" w:sz="0" w:space="0" w:color="auto"/>
        <w:left w:val="none" w:sz="0" w:space="0" w:color="auto"/>
        <w:bottom w:val="none" w:sz="0" w:space="0" w:color="auto"/>
        <w:right w:val="none" w:sz="0" w:space="0" w:color="auto"/>
      </w:divBdr>
    </w:div>
    <w:div w:id="1573655518">
      <w:bodyDiv w:val="1"/>
      <w:marLeft w:val="0"/>
      <w:marRight w:val="0"/>
      <w:marTop w:val="0"/>
      <w:marBottom w:val="0"/>
      <w:divBdr>
        <w:top w:val="none" w:sz="0" w:space="0" w:color="auto"/>
        <w:left w:val="none" w:sz="0" w:space="0" w:color="auto"/>
        <w:bottom w:val="none" w:sz="0" w:space="0" w:color="auto"/>
        <w:right w:val="none" w:sz="0" w:space="0" w:color="auto"/>
      </w:divBdr>
    </w:div>
    <w:div w:id="1612931545">
      <w:bodyDiv w:val="1"/>
      <w:marLeft w:val="0"/>
      <w:marRight w:val="0"/>
      <w:marTop w:val="0"/>
      <w:marBottom w:val="0"/>
      <w:divBdr>
        <w:top w:val="none" w:sz="0" w:space="0" w:color="auto"/>
        <w:left w:val="none" w:sz="0" w:space="0" w:color="auto"/>
        <w:bottom w:val="none" w:sz="0" w:space="0" w:color="auto"/>
        <w:right w:val="none" w:sz="0" w:space="0" w:color="auto"/>
      </w:divBdr>
    </w:div>
    <w:div w:id="1678265458">
      <w:bodyDiv w:val="1"/>
      <w:marLeft w:val="0"/>
      <w:marRight w:val="0"/>
      <w:marTop w:val="0"/>
      <w:marBottom w:val="0"/>
      <w:divBdr>
        <w:top w:val="none" w:sz="0" w:space="0" w:color="auto"/>
        <w:left w:val="none" w:sz="0" w:space="0" w:color="auto"/>
        <w:bottom w:val="none" w:sz="0" w:space="0" w:color="auto"/>
        <w:right w:val="none" w:sz="0" w:space="0" w:color="auto"/>
      </w:divBdr>
      <w:divsChild>
        <w:div w:id="2014451665">
          <w:marLeft w:val="274"/>
          <w:marRight w:val="0"/>
          <w:marTop w:val="0"/>
          <w:marBottom w:val="0"/>
          <w:divBdr>
            <w:top w:val="none" w:sz="0" w:space="0" w:color="auto"/>
            <w:left w:val="none" w:sz="0" w:space="0" w:color="auto"/>
            <w:bottom w:val="none" w:sz="0" w:space="0" w:color="auto"/>
            <w:right w:val="none" w:sz="0" w:space="0" w:color="auto"/>
          </w:divBdr>
        </w:div>
        <w:div w:id="1104037542">
          <w:marLeft w:val="274"/>
          <w:marRight w:val="0"/>
          <w:marTop w:val="0"/>
          <w:marBottom w:val="0"/>
          <w:divBdr>
            <w:top w:val="none" w:sz="0" w:space="0" w:color="auto"/>
            <w:left w:val="none" w:sz="0" w:space="0" w:color="auto"/>
            <w:bottom w:val="none" w:sz="0" w:space="0" w:color="auto"/>
            <w:right w:val="none" w:sz="0" w:space="0" w:color="auto"/>
          </w:divBdr>
        </w:div>
      </w:divsChild>
    </w:div>
    <w:div w:id="1721637206">
      <w:bodyDiv w:val="1"/>
      <w:marLeft w:val="0"/>
      <w:marRight w:val="0"/>
      <w:marTop w:val="0"/>
      <w:marBottom w:val="0"/>
      <w:divBdr>
        <w:top w:val="none" w:sz="0" w:space="0" w:color="auto"/>
        <w:left w:val="none" w:sz="0" w:space="0" w:color="auto"/>
        <w:bottom w:val="none" w:sz="0" w:space="0" w:color="auto"/>
        <w:right w:val="none" w:sz="0" w:space="0" w:color="auto"/>
      </w:divBdr>
    </w:div>
    <w:div w:id="1726678885">
      <w:bodyDiv w:val="1"/>
      <w:marLeft w:val="0"/>
      <w:marRight w:val="0"/>
      <w:marTop w:val="0"/>
      <w:marBottom w:val="0"/>
      <w:divBdr>
        <w:top w:val="none" w:sz="0" w:space="0" w:color="auto"/>
        <w:left w:val="none" w:sz="0" w:space="0" w:color="auto"/>
        <w:bottom w:val="none" w:sz="0" w:space="0" w:color="auto"/>
        <w:right w:val="none" w:sz="0" w:space="0" w:color="auto"/>
      </w:divBdr>
    </w:div>
    <w:div w:id="1733196368">
      <w:bodyDiv w:val="1"/>
      <w:marLeft w:val="0"/>
      <w:marRight w:val="0"/>
      <w:marTop w:val="0"/>
      <w:marBottom w:val="0"/>
      <w:divBdr>
        <w:top w:val="none" w:sz="0" w:space="0" w:color="auto"/>
        <w:left w:val="none" w:sz="0" w:space="0" w:color="auto"/>
        <w:bottom w:val="none" w:sz="0" w:space="0" w:color="auto"/>
        <w:right w:val="none" w:sz="0" w:space="0" w:color="auto"/>
      </w:divBdr>
    </w:div>
    <w:div w:id="1788498196">
      <w:bodyDiv w:val="1"/>
      <w:marLeft w:val="0"/>
      <w:marRight w:val="0"/>
      <w:marTop w:val="0"/>
      <w:marBottom w:val="0"/>
      <w:divBdr>
        <w:top w:val="none" w:sz="0" w:space="0" w:color="auto"/>
        <w:left w:val="none" w:sz="0" w:space="0" w:color="auto"/>
        <w:bottom w:val="none" w:sz="0" w:space="0" w:color="auto"/>
        <w:right w:val="none" w:sz="0" w:space="0" w:color="auto"/>
      </w:divBdr>
    </w:div>
    <w:div w:id="1817911545">
      <w:bodyDiv w:val="1"/>
      <w:marLeft w:val="0"/>
      <w:marRight w:val="0"/>
      <w:marTop w:val="0"/>
      <w:marBottom w:val="0"/>
      <w:divBdr>
        <w:top w:val="none" w:sz="0" w:space="0" w:color="auto"/>
        <w:left w:val="none" w:sz="0" w:space="0" w:color="auto"/>
        <w:bottom w:val="none" w:sz="0" w:space="0" w:color="auto"/>
        <w:right w:val="none" w:sz="0" w:space="0" w:color="auto"/>
      </w:divBdr>
    </w:div>
    <w:div w:id="1861359097">
      <w:bodyDiv w:val="1"/>
      <w:marLeft w:val="0"/>
      <w:marRight w:val="0"/>
      <w:marTop w:val="0"/>
      <w:marBottom w:val="0"/>
      <w:divBdr>
        <w:top w:val="none" w:sz="0" w:space="0" w:color="auto"/>
        <w:left w:val="none" w:sz="0" w:space="0" w:color="auto"/>
        <w:bottom w:val="none" w:sz="0" w:space="0" w:color="auto"/>
        <w:right w:val="none" w:sz="0" w:space="0" w:color="auto"/>
      </w:divBdr>
    </w:div>
    <w:div w:id="1866282727">
      <w:bodyDiv w:val="1"/>
      <w:marLeft w:val="0"/>
      <w:marRight w:val="0"/>
      <w:marTop w:val="0"/>
      <w:marBottom w:val="0"/>
      <w:divBdr>
        <w:top w:val="none" w:sz="0" w:space="0" w:color="auto"/>
        <w:left w:val="none" w:sz="0" w:space="0" w:color="auto"/>
        <w:bottom w:val="none" w:sz="0" w:space="0" w:color="auto"/>
        <w:right w:val="none" w:sz="0" w:space="0" w:color="auto"/>
      </w:divBdr>
    </w:div>
    <w:div w:id="1883130471">
      <w:bodyDiv w:val="1"/>
      <w:marLeft w:val="0"/>
      <w:marRight w:val="0"/>
      <w:marTop w:val="0"/>
      <w:marBottom w:val="0"/>
      <w:divBdr>
        <w:top w:val="none" w:sz="0" w:space="0" w:color="auto"/>
        <w:left w:val="none" w:sz="0" w:space="0" w:color="auto"/>
        <w:bottom w:val="none" w:sz="0" w:space="0" w:color="auto"/>
        <w:right w:val="none" w:sz="0" w:space="0" w:color="auto"/>
      </w:divBdr>
    </w:div>
    <w:div w:id="1941374644">
      <w:bodyDiv w:val="1"/>
      <w:marLeft w:val="0"/>
      <w:marRight w:val="0"/>
      <w:marTop w:val="0"/>
      <w:marBottom w:val="0"/>
      <w:divBdr>
        <w:top w:val="none" w:sz="0" w:space="0" w:color="auto"/>
        <w:left w:val="none" w:sz="0" w:space="0" w:color="auto"/>
        <w:bottom w:val="none" w:sz="0" w:space="0" w:color="auto"/>
        <w:right w:val="none" w:sz="0" w:space="0" w:color="auto"/>
      </w:divBdr>
    </w:div>
    <w:div w:id="1963413748">
      <w:bodyDiv w:val="1"/>
      <w:marLeft w:val="0"/>
      <w:marRight w:val="0"/>
      <w:marTop w:val="0"/>
      <w:marBottom w:val="0"/>
      <w:divBdr>
        <w:top w:val="none" w:sz="0" w:space="0" w:color="auto"/>
        <w:left w:val="none" w:sz="0" w:space="0" w:color="auto"/>
        <w:bottom w:val="none" w:sz="0" w:space="0" w:color="auto"/>
        <w:right w:val="none" w:sz="0" w:space="0" w:color="auto"/>
      </w:divBdr>
    </w:div>
    <w:div w:id="1998410676">
      <w:bodyDiv w:val="1"/>
      <w:marLeft w:val="0"/>
      <w:marRight w:val="0"/>
      <w:marTop w:val="0"/>
      <w:marBottom w:val="0"/>
      <w:divBdr>
        <w:top w:val="none" w:sz="0" w:space="0" w:color="auto"/>
        <w:left w:val="none" w:sz="0" w:space="0" w:color="auto"/>
        <w:bottom w:val="none" w:sz="0" w:space="0" w:color="auto"/>
        <w:right w:val="none" w:sz="0" w:space="0" w:color="auto"/>
      </w:divBdr>
    </w:div>
    <w:div w:id="2126655279">
      <w:bodyDiv w:val="1"/>
      <w:marLeft w:val="0"/>
      <w:marRight w:val="0"/>
      <w:marTop w:val="0"/>
      <w:marBottom w:val="0"/>
      <w:divBdr>
        <w:top w:val="none" w:sz="0" w:space="0" w:color="auto"/>
        <w:left w:val="none" w:sz="0" w:space="0" w:color="auto"/>
        <w:bottom w:val="none" w:sz="0" w:space="0" w:color="auto"/>
        <w:right w:val="none" w:sz="0" w:space="0" w:color="auto"/>
      </w:divBdr>
    </w:div>
    <w:div w:id="213486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EB64245E8C943AB90D04A548EC969" ma:contentTypeVersion="8" ma:contentTypeDescription="Crée un document." ma:contentTypeScope="" ma:versionID="a8201ef8639d61a463f6e616c05337be">
  <xsd:schema xmlns:xsd="http://www.w3.org/2001/XMLSchema" xmlns:xs="http://www.w3.org/2001/XMLSchema" xmlns:p="http://schemas.microsoft.com/office/2006/metadata/properties" xmlns:ns2="40598c5b-eb8b-44b6-acb4-096b356a2fab" xmlns:ns3="b90ad063-18ad-4023-a8d9-ba1a0d0e66b8" targetNamespace="http://schemas.microsoft.com/office/2006/metadata/properties" ma:root="true" ma:fieldsID="70c4c21c15fc73b1107b28d365f30db9" ns2:_="" ns3:_="">
    <xsd:import namespace="40598c5b-eb8b-44b6-acb4-096b356a2fab"/>
    <xsd:import namespace="b90ad063-18ad-4023-a8d9-ba1a0d0e66b8"/>
    <xsd:element name="properties">
      <xsd:complexType>
        <xsd:sequence>
          <xsd:element name="documentManagement">
            <xsd:complexType>
              <xsd:all>
                <xsd:element ref="ns2:Type_x0020_de_x0020_document" minOccurs="0"/>
                <xsd:element ref="ns2:e03f3dd452ed4d79aff0ab23e5d8c1b6"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98c5b-eb8b-44b6-acb4-096b356a2fab" elementFormDefault="qualified">
    <xsd:import namespace="http://schemas.microsoft.com/office/2006/documentManagement/types"/>
    <xsd:import namespace="http://schemas.microsoft.com/office/infopath/2007/PartnerControls"/>
    <xsd:element name="Type_x0020_de_x0020_document" ma:index="8" nillable="true" ma:displayName="Type de document" ma:format="Dropdown" ma:internalName="Type_x0020_de_x0020_document">
      <xsd:simpleType>
        <xsd:restriction base="dms:Choice">
          <xsd:enumeration value="Word"/>
          <xsd:enumeration value="Powerpoint"/>
          <xsd:enumeration value="Excel"/>
          <xsd:enumeration value="PDF"/>
          <xsd:enumeration value="Autre"/>
        </xsd:restriction>
      </xsd:simpleType>
    </xsd:element>
    <xsd:element name="e03f3dd452ed4d79aff0ab23e5d8c1b6" ma:index="10" ma:taxonomy="true" ma:internalName="e03f3dd452ed4d79aff0ab23e5d8c1b6" ma:taxonomyFieldName="Th_x00e8_mes_x0020_du_x0020_document" ma:displayName="Thèmes du document" ma:readOnly="false" ma:default="1;#SEE|81099eea-3737-4fde-9257-bfa293ae1818" ma:fieldId="{e03f3dd4-52ed-4d79-aff0-ab23e5d8c1b6}" ma:taxonomyMulti="true" ma:sspId="16fb23be-d400-4d26-b240-6ede1ba76c2a" ma:termSetId="c1980e8c-4c88-4cf8-9104-98d37fd01eb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0ad063-18ad-4023-a8d9-ba1a0d0e66b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09cd5039-f872-497a-b846-607916489662}" ma:internalName="TaxCatchAll" ma:showField="CatchAllData" ma:web="b90ad063-18ad-4023-a8d9-ba1a0d0e66b8">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0ad063-18ad-4023-a8d9-ba1a0d0e66b8">
      <Value>27</Value>
    </TaxCatchAll>
    <Type_x0020_de_x0020_document xmlns="40598c5b-eb8b-44b6-acb4-096b356a2fab" xsi:nil="true"/>
    <e03f3dd452ed4d79aff0ab23e5d8c1b6 xmlns="40598c5b-eb8b-44b6-acb4-096b356a2fab">
      <Terms xmlns="http://schemas.microsoft.com/office/infopath/2007/PartnerControls">
        <TermInfo xmlns="http://schemas.microsoft.com/office/infopath/2007/PartnerControls">
          <TermName xmlns="http://schemas.microsoft.com/office/infopath/2007/PartnerControls">Documents provisoires</TermName>
          <TermId xmlns="http://schemas.microsoft.com/office/infopath/2007/PartnerControls">30b414c5-c73a-4a2f-bfe1-8284126dc5b0</TermId>
        </TermInfo>
      </Terms>
    </e03f3dd452ed4d79aff0ab23e5d8c1b6>
    <SharedWithUsers xmlns="b90ad063-18ad-4023-a8d9-ba1a0d0e66b8">
      <UserInfo>
        <DisplayName>CHAPEAUX Loïc ( FFB DAEFI )</DisplayName>
        <AccountId>18</AccountId>
        <AccountType/>
      </UserInfo>
      <UserInfo>
        <DisplayName>REYES HUBER Ximena ( FFB DAEFI )</DisplayName>
        <AccountId>25</AccountId>
        <AccountType/>
      </UserInfo>
      <UserInfo>
        <DisplayName>WANDE Alfred ( FFB DAEFI/DCP )</DisplayName>
        <AccountId>50</AccountId>
        <AccountType/>
      </UserInfo>
      <UserInfo>
        <DisplayName>PARTOUCHE Denise ( FFB DAEFI/SEE )</DisplayName>
        <AccountId>54</AccountId>
        <AccountType/>
      </UserInfo>
      <UserInfo>
        <DisplayName>DUSSAUX Hélène ( FFB DAEFI/SEE )</DisplayName>
        <AccountId>26</AccountId>
        <AccountType/>
      </UserInfo>
      <UserInfo>
        <DisplayName>ALLINE Nicolas ( FFB DAEFI/SEE )</DisplayName>
        <AccountId>42</AccountId>
        <AccountType/>
      </UserInfo>
      <UserInfo>
        <DisplayName>VESSILLIER Delphine ( FFB DAEFI/SEES )</DisplayName>
        <AccountId>28</AccountId>
        <AccountType/>
      </UserInfo>
      <UserInfo>
        <DisplayName>PARSY Nathalie ( FFB DAEFI/SEES )</DisplayName>
        <AccountId>43</AccountId>
        <AccountType/>
      </UserInfo>
      <UserInfo>
        <DisplayName>MEDANI Sidina ( FFB DAEFI/SEES )</DisplayName>
        <AccountId>44</AccountId>
        <AccountType/>
      </UserInfo>
      <UserInfo>
        <DisplayName>DIALLO Myriam ( FFB DAEFI/QI )</DisplayName>
        <AccountId>19</AccountId>
        <AccountType/>
      </UserInfo>
      <UserInfo>
        <DisplayName>ASSOLENT Dimitri ( FFB DAEFI/SEE )</DisplayName>
        <AccountId>58</AccountId>
        <AccountType/>
      </UserInfo>
      <UserInfo>
        <DisplayName>PROMEYRAT Antoine ( FFB DAEFI/DCP )</DisplayName>
        <AccountId>61</AccountId>
        <AccountType/>
      </UserInfo>
      <UserInfo>
        <DisplayName>AUGRIS Bérengère ( FFB DAEFI/QI )</DisplayName>
        <AccountId>55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E747C-F39D-41F3-B91A-E8B7514AE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98c5b-eb8b-44b6-acb4-096b356a2fab"/>
    <ds:schemaRef ds:uri="b90ad063-18ad-4023-a8d9-ba1a0d0e6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B2621-3F2D-4972-9254-2269A043D2D2}">
  <ds:schemaRefs>
    <ds:schemaRef ds:uri="http://schemas.microsoft.com/sharepoint/v3/contenttype/forms"/>
  </ds:schemaRefs>
</ds:datastoreItem>
</file>

<file path=customXml/itemProps3.xml><?xml version="1.0" encoding="utf-8"?>
<ds:datastoreItem xmlns:ds="http://schemas.openxmlformats.org/officeDocument/2006/customXml" ds:itemID="{4F92FD89-651D-49F5-A6DC-DA9EB4B1F50D}">
  <ds:schemaRefs>
    <ds:schemaRef ds:uri="http://schemas.microsoft.com/office/2006/metadata/properties"/>
    <ds:schemaRef ds:uri="http://schemas.microsoft.com/office/infopath/2007/PartnerControls"/>
    <ds:schemaRef ds:uri="b90ad063-18ad-4023-a8d9-ba1a0d0e66b8"/>
    <ds:schemaRef ds:uri="40598c5b-eb8b-44b6-acb4-096b356a2fab"/>
  </ds:schemaRefs>
</ds:datastoreItem>
</file>

<file path=customXml/itemProps4.xml><?xml version="1.0" encoding="utf-8"?>
<ds:datastoreItem xmlns:ds="http://schemas.openxmlformats.org/officeDocument/2006/customXml" ds:itemID="{4B8F5DA5-6C96-49D5-A100-A1F6CB290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3817</Words>
  <Characters>20997</Characters>
  <Application>Microsoft Office Word</Application>
  <DocSecurity>4</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FFB</Company>
  <LinksUpToDate>false</LinksUpToDate>
  <CharactersWithSpaces>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Eric ( FFB SEE )</dc:creator>
  <cp:keywords>2024</cp:keywords>
  <dc:description/>
  <cp:lastModifiedBy>CUCHEVAL Anaïk ( FFB Editions Presse et communication )</cp:lastModifiedBy>
  <cp:revision>2</cp:revision>
  <cp:lastPrinted>2023-07-03T14:41:00Z</cp:lastPrinted>
  <dcterms:created xsi:type="dcterms:W3CDTF">2024-09-16T17:22:00Z</dcterms:created>
  <dcterms:modified xsi:type="dcterms:W3CDTF">2024-09-16T17:22:00Z</dcterms:modified>
  <cp:category>Conférences presse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0x010100FC0EB64245E8C943AB90D04A548EC969</vt:lpwstr>
  </property>
  <property fmtid="{D5CDD505-2E9C-101B-9397-08002B2CF9AE}" pid="3" name="IsMyDocuments">
    <vt:bool>true</vt:bool>
  </property>
  <property fmtid="{D5CDD505-2E9C-101B-9397-08002B2CF9AE}" pid="4" name="Thèmes du document">
    <vt:lpwstr>27;#Documents provisoires|30b414c5-c73a-4a2f-bfe1-8284126dc5b0</vt:lpwstr>
  </property>
  <property fmtid="{D5CDD505-2E9C-101B-9397-08002B2CF9AE}" pid="5" name="MSIP_Label_f1a95e15-f021-4cd3-ac15-bca03bba052b_Enabled">
    <vt:lpwstr>true</vt:lpwstr>
  </property>
  <property fmtid="{D5CDD505-2E9C-101B-9397-08002B2CF9AE}" pid="6" name="MSIP_Label_f1a95e15-f021-4cd3-ac15-bca03bba052b_SetDate">
    <vt:lpwstr>2023-04-11T18:25:35Z</vt:lpwstr>
  </property>
  <property fmtid="{D5CDD505-2E9C-101B-9397-08002B2CF9AE}" pid="7" name="MSIP_Label_f1a95e15-f021-4cd3-ac15-bca03bba052b_Method">
    <vt:lpwstr>Standard</vt:lpwstr>
  </property>
  <property fmtid="{D5CDD505-2E9C-101B-9397-08002B2CF9AE}" pid="8" name="MSIP_Label_f1a95e15-f021-4cd3-ac15-bca03bba052b_Name">
    <vt:lpwstr>f1a95e15-f021-4cd3-ac15-bca03bba052b</vt:lpwstr>
  </property>
  <property fmtid="{D5CDD505-2E9C-101B-9397-08002B2CF9AE}" pid="9" name="MSIP_Label_f1a95e15-f021-4cd3-ac15-bca03bba052b_SiteId">
    <vt:lpwstr>92410b1b-4b46-4710-b23c-c3a3814046a4</vt:lpwstr>
  </property>
  <property fmtid="{D5CDD505-2E9C-101B-9397-08002B2CF9AE}" pid="10" name="MSIP_Label_f1a95e15-f021-4cd3-ac15-bca03bba052b_ActionId">
    <vt:lpwstr>81d7c988-7722-4d6b-9a87-66c71a6879c7</vt:lpwstr>
  </property>
  <property fmtid="{D5CDD505-2E9C-101B-9397-08002B2CF9AE}" pid="11" name="MSIP_Label_f1a95e15-f021-4cd3-ac15-bca03bba052b_ContentBits">
    <vt:lpwstr>0</vt:lpwstr>
  </property>
</Properties>
</file>